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45A961" w14:textId="77777777" w:rsidR="00CE1EB3" w:rsidRDefault="00282BE2" w:rsidP="002F0D7F">
      <w:pPr>
        <w:bidi/>
        <w:rPr>
          <w:lang w:bidi="fa-IR"/>
        </w:rPr>
      </w:pPr>
      <w:r>
        <w:rPr>
          <w:lang w:bidi="fa-IR"/>
        </w:rPr>
        <w:t>Policy</w:t>
      </w:r>
    </w:p>
    <w:p w14:paraId="777FC8F9" w14:textId="77777777" w:rsidR="00282BE2" w:rsidRDefault="00282BE2" w:rsidP="002F0D7F">
      <w:pPr>
        <w:bidi/>
        <w:rPr>
          <w:lang w:bidi="fa-IR"/>
        </w:rPr>
      </w:pPr>
      <w:r>
        <w:rPr>
          <w:lang w:bidi="fa-IR"/>
        </w:rPr>
        <w:t>Centralized-decentralized-local energy planning</w:t>
      </w:r>
    </w:p>
    <w:p w14:paraId="7C4DF762" w14:textId="77777777" w:rsidR="00282BE2" w:rsidRDefault="00282BE2" w:rsidP="002F0D7F">
      <w:pPr>
        <w:bidi/>
        <w:rPr>
          <w:rtl/>
        </w:rPr>
      </w:pPr>
      <w:r>
        <w:rPr>
          <w:rtl/>
        </w:rPr>
        <w:t>پس از یک دوره کوتاه آزاد سازی، بازار انرژی انگلیس به سمت دولت پیش از دهه 1980 باز می گردد که دولت مرکزی به طور گسترده ای دخالت می کند، به ویژه در انتخاب سوخت های ژنراتورهای برق. بسیاری از گروه های مورد علاقه قدرتمند از برنامه ریزی انرژی متمرکز بهره مند می شوند، که شاید به همین دلیل بازار به عنوان یک عادت به آن وضعیت تبدیل می شود. از دو دلیل اصلی برای مداخله دولت، در این استدلال کمی وجود دارد که امنیت عرضه را بهبود می بخشد. ممکن است یک مورد بهتر برای اقدام برای جبران تغییرات آب و هوایی احتمالی وجود داشته باشد، اما رویکرد متمرکز کنونی خطرات زیادی را به خطر می اندازد. تمرکززدایی، مبتنی بر بازار مناسب تر است</w:t>
      </w:r>
      <w:r>
        <w:rPr>
          <w:rtl/>
        </w:rPr>
        <w:fldChar w:fldCharType="begin" w:fldLock="1"/>
      </w:r>
      <w:r>
        <w:instrText>ADDIN CSL_CITATION { "citationItems" : [ { "id" : "ITEM-1", "itemData" : { "DOI" : "10.1111/ecaf.12040", "ISSN" : "02650665", "abstract" : "After a brief period of liberalisation, the UK energy market is reverting towards its pre-1980s state in which central government intervenes extensively, particularly in the fuel choices of electricity generators. Many powerful interest groups benefit from centralised energy planning, which may be why the market reverts to that situation as a norm. Of the two principal reasons given for government intervention, there is little substance in the argument that it improves security of supply. There may be a better case for action to offset prospective climate change, but the present centralised approach risks massive errors. Decentralised, market-based action is more appropriate.", "author" : [ { "dropping-particle" : "", "family" : "Robinson", "given" : "Colin", "non-dropping-particle" : "", "parse-names" : false, "suffix" : "" } ], "container-title" : "Economic Affairs", "id" : "ITEM-1", "issue" : "3", "issued" : { "date-parts" : [ [ "2013" ] ] }, "page" : "312-326", "title" : "The Return Of Centralised Energy Planning", "type" : "article-journal", "volume" : "33" }, "uris" : [ "http://www.mendeley.com/documents/?uuid=589c3357-31c3-4c7a-afd9-0d6248c39e74" ] } ], "mendeley" : { "formattedCitation" : "(Robinson, 2013)", "plainTextFormattedCitation" : "(Robinson, 2013)", "previouslyFormattedCitation" : "(Robinson, 2013)" }, "properties" : {  }, "schema" : "https://github.com/citation-style-language/schema/raw/master/csl-citation.json" }</w:instrText>
      </w:r>
      <w:r>
        <w:rPr>
          <w:rtl/>
        </w:rPr>
        <w:fldChar w:fldCharType="separate"/>
      </w:r>
      <w:r w:rsidRPr="00282BE2">
        <w:rPr>
          <w:noProof/>
        </w:rPr>
        <w:t>(Robinson, 2013)</w:t>
      </w:r>
      <w:r>
        <w:rPr>
          <w:rtl/>
        </w:rPr>
        <w:fldChar w:fldCharType="end"/>
      </w:r>
      <w:r>
        <w:rPr>
          <w:rtl/>
        </w:rPr>
        <w:t>.</w:t>
      </w:r>
    </w:p>
    <w:p w14:paraId="56185F6A" w14:textId="77777777" w:rsidR="003D0138" w:rsidRDefault="003D0138" w:rsidP="002F0D7F">
      <w:pPr>
        <w:bidi/>
        <w:rPr>
          <w:rFonts w:cs="B Lotus"/>
          <w:lang w:bidi="fa-IR"/>
        </w:rPr>
      </w:pPr>
      <w:r>
        <w:rPr>
          <w:rFonts w:cs="B Lotus" w:hint="cs"/>
          <w:rtl/>
          <w:lang w:bidi="fa-IR"/>
        </w:rPr>
        <w:t xml:space="preserve">نئودورفر و همکارانش </w:t>
      </w:r>
      <w:r>
        <w:rPr>
          <w:rFonts w:cs="B Lotus"/>
          <w:rtl/>
          <w:lang w:bidi="fa-IR"/>
        </w:rPr>
        <w:t xml:space="preserve">بیان </w:t>
      </w:r>
      <w:r>
        <w:rPr>
          <w:rFonts w:cs="B Lotus" w:hint="cs"/>
          <w:rtl/>
          <w:lang w:bidi="fa-IR"/>
        </w:rPr>
        <w:t>کرده</w:t>
      </w:r>
      <w:r>
        <w:rPr>
          <w:rFonts w:cs="B Lotus"/>
          <w:rtl/>
          <w:lang w:bidi="fa-IR"/>
        </w:rPr>
        <w:softHyphen/>
      </w:r>
      <w:r>
        <w:rPr>
          <w:rFonts w:cs="B Lotus" w:hint="cs"/>
          <w:rtl/>
          <w:lang w:bidi="fa-IR"/>
        </w:rPr>
        <w:t>اند</w:t>
      </w:r>
      <w:r>
        <w:rPr>
          <w:rFonts w:cs="B Lotus"/>
          <w:rtl/>
          <w:lang w:bidi="fa-IR"/>
        </w:rPr>
        <w:t xml:space="preserve"> که رویکردهای </w:t>
      </w:r>
      <w:r>
        <w:rPr>
          <w:rFonts w:cs="B Lotus" w:hint="cs"/>
          <w:rtl/>
          <w:lang w:bidi="fa-IR"/>
        </w:rPr>
        <w:t>طرح</w:t>
      </w:r>
      <w:r>
        <w:rPr>
          <w:rFonts w:cs="B Lotus"/>
          <w:rtl/>
          <w:lang w:bidi="fa-IR"/>
        </w:rPr>
        <w:softHyphen/>
      </w:r>
      <w:r w:rsidRPr="00262069">
        <w:rPr>
          <w:rFonts w:cs="B Lotus"/>
          <w:rtl/>
          <w:lang w:bidi="fa-IR"/>
        </w:rPr>
        <w:t>ریزی و اجرایی موجود، که تفکر سیاست های فعلی را در مورد مشارکت بخش های انرژی روستایی نشان می دهد. نقش ذینفعان از قبل تعریف شده است و تجزیه و تحلیل نقش و تأثیر آن بر عملکرد برنامه صورت نگرفته است. تعاملات میان ذینفعان نیز محدود است. با توجه به این واقعیت که بیش از 30 سال گذشته از زمانی که مسائل انرژی روستایی به طور جدی مورد توجه قرار گرفته بود و پیشرفت محدودی که در این منطقه به دست آمده است، ضروری است. "رویکرد مبتنی بر فناوری، ابتدا و به طور عمده باید رویکردی مبتنی بر برنامه را که در آن عناصر نگهداری یک مکان" را شامل می شود، در نظر بگیرد. این طراحی شامل شناخت برنامه های مرتبط اجتماعی است که نابرابری ها را بر اساس طبقه اجتماعی، صنف و جنسیت و تنظیم مکان هایی که مکانیزم هایی را فراهم می کنند که توزیع منصفانه تر منافع را تضمین می کنند</w:t>
      </w:r>
      <w:r w:rsidRPr="00262069">
        <w:rPr>
          <w:rFonts w:cs="B Lotus"/>
          <w:rtl/>
          <w:lang w:bidi="fa-IR"/>
        </w:rPr>
        <w:fldChar w:fldCharType="begin" w:fldLock="1"/>
      </w:r>
      <w:r>
        <w:rPr>
          <w:rFonts w:cs="B Lotus"/>
          <w:lang w:bidi="fa-IR"/>
        </w:rPr>
        <w:instrText>ADDIN CSL_CITATION { "citationItems" : [ { "id" : "ITEM-1", "itemData" : { "DOI" : "10.1016/S0301-4215(00)00132-4", "ISBN" : "0301-4215", "ISSN" : "03014215", "abstract" : "The problems of fuel insu$ciency, over exploitation of biomass resources and poor reliability and quality of energy services\\navailable to the rural masses of India continues despite numerous initiatives by the government. These initiatives have largely been in\\nthe form of national level rural and renewable energy programmes aimed at improving people's quality of life and reducing the\\nexisting pressure on the natural resource base. The programmes have met with limited success on account of several reasons. One of\\nthese is the absence of a mechanism for ensuring the genuine participation of the local inhabitants. With this weakness in mind, the\\nTata Energy Research Institute (TERI) and the University of Waterloo (UW) undertook a joint research project (1994}1997), aimed at\\ndeveloping participatory planning and intervention design methodologies and tools to facilitate public participation and feature\\na meaningful role for women in rural energy planning. This paper presents the policy implications and recommendations of the\\nwork.\\n", "author" : [ { "dropping-particle" : "", "family" : "Neudoerffer", "given" : "R.Cynthia", "non-dropping-particle" : "", "parse-names" : false, "suffix" : "" }, { "dropping-particle" : "", "family" : "Malhotra", "given" : "P", "non-dropping-particle" : "", "parse-names" : false, "suffix" : "" }, { "dropping-particle" : "", "family" : "Ramanata", "given" : "P.Venkata", "non-dropping-particle" : "", "parse-names" : false, "suffix" : "" } ], "container-title" : "Energy Policy", "id" : "ITEM-1", "issued" : { "date-parts" : [ [ "2001" ] ] }, "page" : "371-381", "title" : "Participatory rural energy planning in India - a policy context", "type" : "article-journal", "volume" : "29" }, "uris" : [ "http://www.mendeley.com/documents/?uuid=32331452-d37f-41e4-8348-b10a107305c4" ] } ], "mendeley" : { "formattedCitation" : "(Neudoerffer, Malhotra, &amp; Ramanata, 2001)", "plainTextFormattedCitation" : "(Neudoerffer, Malhotra, &amp; Ramanata, 2001)", "previouslyFormattedCitation" : "(Neudoerffer, Malhotra, &amp; Ramanata, 2001)" }, "properties" : {  }, "schema" : "https://github.com/citation-style-language/schema/raw/master/csl-citation.json" }</w:instrText>
      </w:r>
      <w:r w:rsidRPr="00262069">
        <w:rPr>
          <w:rFonts w:cs="B Lotus"/>
          <w:rtl/>
          <w:lang w:bidi="fa-IR"/>
        </w:rPr>
        <w:fldChar w:fldCharType="separate"/>
      </w:r>
      <w:r w:rsidRPr="00BB5C08">
        <w:rPr>
          <w:rFonts w:cs="B Lotus"/>
          <w:noProof/>
          <w:lang w:bidi="fa-IR"/>
        </w:rPr>
        <w:t>(Neudoerffer, Malhotra, &amp; Ramanata, 2001)</w:t>
      </w:r>
      <w:r w:rsidRPr="00262069">
        <w:rPr>
          <w:rFonts w:cs="B Lotus"/>
          <w:rtl/>
          <w:lang w:bidi="fa-IR"/>
        </w:rPr>
        <w:fldChar w:fldCharType="end"/>
      </w:r>
      <w:r w:rsidRPr="00262069">
        <w:rPr>
          <w:rFonts w:cs="B Lotus"/>
          <w:rtl/>
          <w:lang w:bidi="fa-IR"/>
        </w:rPr>
        <w:t>.</w:t>
      </w:r>
    </w:p>
    <w:p w14:paraId="0011463F" w14:textId="77777777" w:rsidR="003D0138" w:rsidRDefault="003D0138" w:rsidP="002F0D7F">
      <w:pPr>
        <w:bidi/>
        <w:rPr>
          <w:rFonts w:cs="B Lotus"/>
        </w:rPr>
      </w:pPr>
      <w:r>
        <w:rPr>
          <w:rFonts w:cs="B Lotus" w:hint="cs"/>
          <w:rtl/>
        </w:rPr>
        <w:t>هیرمٍث و همکارانش ر</w:t>
      </w:r>
      <w:r w:rsidRPr="00262069">
        <w:rPr>
          <w:rFonts w:cs="B Lotus"/>
          <w:rtl/>
        </w:rPr>
        <w:t xml:space="preserve">وش پیشنهادی </w:t>
      </w:r>
      <w:r w:rsidRPr="00262069">
        <w:rPr>
          <w:rFonts w:cs="B Lotus"/>
        </w:rPr>
        <w:t>DEP</w:t>
      </w:r>
      <w:r w:rsidRPr="00262069">
        <w:rPr>
          <w:rFonts w:cs="B Lotus"/>
          <w:rtl/>
        </w:rPr>
        <w:t xml:space="preserve"> را ارائه می دهند. این پیاده سازی از طریق مطالعه موردی انجام شده در یک روستای به نام </w:t>
      </w:r>
      <w:r w:rsidRPr="00262069">
        <w:rPr>
          <w:rFonts w:cs="B Lotus"/>
        </w:rPr>
        <w:t>Ungra</w:t>
      </w:r>
      <w:r w:rsidRPr="00262069">
        <w:rPr>
          <w:rFonts w:cs="B Lotus"/>
          <w:rtl/>
        </w:rPr>
        <w:t xml:space="preserve"> در منطقه </w:t>
      </w:r>
      <w:r w:rsidRPr="00262069">
        <w:rPr>
          <w:rFonts w:cs="B Lotus"/>
        </w:rPr>
        <w:t>Tumkur</w:t>
      </w:r>
      <w:r w:rsidRPr="00262069">
        <w:rPr>
          <w:rFonts w:cs="B Lotus"/>
          <w:rtl/>
        </w:rPr>
        <w:t xml:space="preserve"> از ایالت کارناتاکا در هند نشان داده شده است. از طریق </w:t>
      </w:r>
      <w:r w:rsidRPr="00262069">
        <w:rPr>
          <w:rFonts w:cs="B Lotus"/>
        </w:rPr>
        <w:t>DEP</w:t>
      </w:r>
      <w:r w:rsidRPr="00262069">
        <w:rPr>
          <w:rFonts w:cs="B Lotus"/>
          <w:rtl/>
        </w:rPr>
        <w:t xml:space="preserve"> تقاضای انرژی در سال 2020 برای روستای </w:t>
      </w:r>
      <w:r w:rsidRPr="00262069">
        <w:rPr>
          <w:rFonts w:cs="B Lotus"/>
        </w:rPr>
        <w:t>Ungra</w:t>
      </w:r>
      <w:r w:rsidRPr="00262069">
        <w:rPr>
          <w:rFonts w:cs="B Lotus"/>
          <w:rtl/>
        </w:rPr>
        <w:t xml:space="preserve"> ارائه شده است. </w:t>
      </w:r>
      <w:r w:rsidRPr="00262069">
        <w:rPr>
          <w:rFonts w:cs="B Lotus" w:hint="cs"/>
          <w:rtl/>
        </w:rPr>
        <w:t>بیوانرژی دارای مزایای متعددی نسبت به سایر انرژی های</w:t>
      </w:r>
      <w:r>
        <w:rPr>
          <w:rFonts w:cs="B Lotus" w:hint="cs"/>
          <w:rtl/>
        </w:rPr>
        <w:t xml:space="preserve"> تجدید پذیر است</w:t>
      </w:r>
    </w:p>
    <w:p w14:paraId="31C07F1B" w14:textId="77777777" w:rsidR="003D0138" w:rsidRDefault="003D0138" w:rsidP="002F0D7F">
      <w:pPr>
        <w:bidi/>
        <w:rPr>
          <w:rFonts w:cs="B Lotus"/>
          <w:rtl/>
          <w:lang w:bidi="fa-IR"/>
        </w:rPr>
      </w:pPr>
      <w:r>
        <w:rPr>
          <w:rFonts w:cs="B Lotus" w:hint="cs"/>
          <w:rtl/>
        </w:rPr>
        <w:t>هدف</w:t>
      </w:r>
      <w:r w:rsidRPr="00262069">
        <w:rPr>
          <w:rFonts w:cs="B Lotus"/>
          <w:rtl/>
        </w:rPr>
        <w:t xml:space="preserve"> </w:t>
      </w:r>
      <w:r>
        <w:rPr>
          <w:rFonts w:cs="B Lotus" w:hint="cs"/>
          <w:rtl/>
        </w:rPr>
        <w:t xml:space="preserve">نارودوساوسکی و همکارانش </w:t>
      </w:r>
      <w:r w:rsidRPr="00262069">
        <w:rPr>
          <w:rFonts w:cs="B Lotus"/>
          <w:rtl/>
        </w:rPr>
        <w:t xml:space="preserve">شناسایی نقش رد پای اکولوژیکی در تصمیم گیری پایین به بالا برای تامین انرژی در سطح محلی و منطقه ای در تجزیه و تحلیل یک مطالعه موردی منطقه ای </w:t>
      </w:r>
      <w:r>
        <w:rPr>
          <w:rFonts w:cs="B Lotus" w:hint="cs"/>
          <w:rtl/>
        </w:rPr>
        <w:t>بود</w:t>
      </w:r>
      <w:r w:rsidRPr="00262069">
        <w:rPr>
          <w:rFonts w:cs="B Lotus"/>
          <w:rtl/>
        </w:rPr>
        <w:t xml:space="preserve">. از این تحلیل، نتیجه </w:t>
      </w:r>
      <w:r>
        <w:rPr>
          <w:rFonts w:cs="B Lotus" w:hint="cs"/>
          <w:rtl/>
        </w:rPr>
        <w:t>گرفتند</w:t>
      </w:r>
      <w:r w:rsidRPr="00262069">
        <w:rPr>
          <w:rFonts w:cs="B Lotus"/>
          <w:rtl/>
        </w:rPr>
        <w:t xml:space="preserve"> که صرف نظر از افزایش آگاهی و مشارکت عمومی در مرحله اولیه چنین پروسه ای، ردپای محیط زیست می تواند به عنوان ابزاری برای ارزیابی اثرات زیست محیطی سیستم های موجود انرژی و پیش از ارزیابی اثرات زیست محیطی دیدگاه ها و استراتژی های در بخش انرژی در مرحله اولیه طرح ریزی استفاده شود</w:t>
      </w:r>
      <w:r w:rsidRPr="00262069">
        <w:rPr>
          <w:rFonts w:cs="B Lotus"/>
          <w:rtl/>
        </w:rPr>
        <w:fldChar w:fldCharType="begin" w:fldLock="1"/>
      </w:r>
      <w:r>
        <w:rPr>
          <w:rFonts w:cs="B Lotus"/>
        </w:rPr>
        <w:instrText>ADDIN CSL_CITATION { "citationItems" : [ { "id" : "ITEM-1", "itemData" : { "DOI" : "Pii 931112267\\r10.1080/1523908x.2010.528885", "ISBN" : "1523-908X", "ISSN" : "1523-908X", "abstract" : "Ecological footprinting is widely accepted as a tool for environmental education and public awareness raising. However, it is often argued that ecological footprints do not allow shaping of policies and programmes. Therefore, several methodological improvements have been made, for instance, in the energy sector, or similar approaches have been introduced which claim that ecological footprinting has been developed as a tool for decision-making. The aim of this paper is to identify the role of ecological footprinting in bottom-up decision-making for energy supplies on the local and regional level analysing a regional case study. From this analysis, it results that apart from awareness raising and public involvement in the starting phase of such a process, ecological footprints can be used as a tool for appraising environmental impacts of existing energy systems and for a pre-assessment of environmental impacts of visions and strategies in the energy sector in an early stage of the planning process.", "author" : [ { "dropping-particle" : "", "family" : "Narodoslawsky", "given" : "Michael", "non-dropping-particle" : "", "parse-names" : false, "suffix" : "" }, { "dropping-particle" : "", "family" : "Stoeglehner", "given" : "Gernot", "non-dropping-particle" : "", "parse-names" : false, "suffix" : "" } ], "container-title" : "Journal of Environmental Policy &amp; Planning", "id" : "ITEM-1", "issue" : "4", "issued" : { "date-parts" : [ [ "2010" ] ] }, "page" : "363-379", "title" : "Planning for Local and Regional Energy Strategies with the Ecological Footprint", "type" : "article-journal", "volume" : "12" }, "uris" : [ "http://www.mendeley.com/documents/?uuid=ba68bdcc-02ee-439f-840c-7b0badb30f2c" ] } ], "mendeley" : { "formattedCitation" : "(Narodoslawsky &amp; Stoeglehner, 2010)", "plainTextFormattedCitation" : "(Narodoslawsky &amp; Stoeglehner, 2010)", "previouslyFormattedCitation" : "(Narodoslawsky &amp; Stoeglehner, 2010)" }, "properties" : {  }, "schema" : "https://github.com/citation-style-language/schema/raw/master/csl-citation.json" }</w:instrText>
      </w:r>
      <w:r w:rsidRPr="00262069">
        <w:rPr>
          <w:rFonts w:cs="B Lotus"/>
          <w:rtl/>
        </w:rPr>
        <w:fldChar w:fldCharType="separate"/>
      </w:r>
      <w:r w:rsidRPr="00BB5C08">
        <w:rPr>
          <w:rFonts w:cs="B Lotus"/>
          <w:noProof/>
        </w:rPr>
        <w:t>(Narodoslawsky &amp; Stoeglehner, 2010)</w:t>
      </w:r>
      <w:r w:rsidRPr="00262069">
        <w:rPr>
          <w:rFonts w:cs="B Lotus"/>
          <w:rtl/>
        </w:rPr>
        <w:fldChar w:fldCharType="end"/>
      </w:r>
      <w:r>
        <w:rPr>
          <w:rFonts w:cs="B Lotus" w:hint="cs"/>
          <w:rtl/>
          <w:lang w:bidi="fa-IR"/>
        </w:rPr>
        <w:t>.</w:t>
      </w:r>
    </w:p>
    <w:p w14:paraId="40D90CB2" w14:textId="77777777" w:rsidR="003D0138" w:rsidRDefault="003D0138" w:rsidP="002F0D7F">
      <w:pPr>
        <w:bidi/>
        <w:rPr>
          <w:rFonts w:cs="B Lotus"/>
        </w:rPr>
      </w:pPr>
      <w:r w:rsidRPr="00262069">
        <w:rPr>
          <w:rFonts w:cs="B Lotus"/>
          <w:rtl/>
        </w:rPr>
        <w:fldChar w:fldCharType="begin" w:fldLock="1"/>
      </w:r>
      <w:r>
        <w:rPr>
          <w:rFonts w:cs="B Lotus"/>
        </w:rPr>
        <w:instrText>ADDIN CSL_CITATION { "citationItems" : [ { "id" : "ITEM-1", "itemData" : { "DOI" : "10.1063/1.3167282", "ISBN" : "19417012", "ISSN" : "19417012", "author" : [ { "dropping-particle" : "", "family" : "Hiremath", "given" : "R. B.", "non-dropping-particle" : "", "parse-names" : false, "suffix" : "" }, { "dropping-particle" : "", "family" : "Kumar", "given" : "Bimlesh", "non-dropping-particle" : "", "parse-names" : false, "suffix" : "" }, { "dropping-particle" : "", "family" : "Deepak", "given" : "P.", "non-dropping-particle" : "", "parse-names" : false, "suffix" : "" }, { "dropping-particle" : "", "family" : "Balachandra", "given" : "P.", "non-dropping-particle" : "", "parse-names" : false, "suffix" : "" }, { "dropping-particle" : "", "family" : "Ravindranath", "given" : "N. H.", "non-dropping-particle" : "", "parse-names" : false, "suffix" : "" }, { "dropping-particle" : "", "family" : "Raghunandan", "given" : "B. N.", "non-dropping-particle" : "", "parse-names" : false, "suffix" : "" } ], "container-title" : "Journal of Renewable and Sustainable Energy", "id" : "ITEM-1", "issue" : "4", "issued" : { "date-parts" : [ [ "2009" ] ] }, "page" : "043103", "title" : "Decentralized energy planning through a case study of a typical village in India", "type" : "article-journal", "volume" : "1" }, "uris" : [ "http://www.mendeley.com/documents/?uuid=a1a403b2-0e57-493f-aaff-415a35e9a293" ] } ], "mendeley" : { "formattedCitation" : "(R. B. Hiremath, Kumar, Deepak, et al., 2009)", "plainTextFormattedCitation" : "(R. B. Hiremath, Kumar, Deepak, et al., 2009)", "previouslyFormattedCitation" : "(R. B. Hiremath, Kumar, Deepak, et al., 2009)" }, "properties" : {  }, "schema" : "https://github.com/citation-style-language/schema/raw/master/csl-citation.json" }</w:instrText>
      </w:r>
      <w:r w:rsidRPr="00262069">
        <w:rPr>
          <w:rFonts w:cs="B Lotus"/>
          <w:rtl/>
        </w:rPr>
        <w:fldChar w:fldCharType="separate"/>
      </w:r>
      <w:r w:rsidRPr="00BB5C08">
        <w:rPr>
          <w:rFonts w:cs="B Lotus"/>
          <w:noProof/>
        </w:rPr>
        <w:t>(R. B. Hiremath, Kumar, Deepak, et al., 2009)</w:t>
      </w:r>
      <w:r w:rsidRPr="00262069">
        <w:rPr>
          <w:rFonts w:cs="B Lotus"/>
          <w:rtl/>
        </w:rPr>
        <w:fldChar w:fldCharType="end"/>
      </w:r>
      <w:r>
        <w:rPr>
          <w:rFonts w:cs="B Lotus" w:hint="cs"/>
          <w:rtl/>
        </w:rPr>
        <w:t xml:space="preserve">. </w:t>
      </w:r>
      <w:r w:rsidRPr="00262069">
        <w:rPr>
          <w:rFonts w:cs="B Lotus"/>
          <w:rtl/>
        </w:rPr>
        <w:t>بر اساس بررسی های</w:t>
      </w:r>
      <w:r>
        <w:rPr>
          <w:rFonts w:cs="B Lotus" w:hint="cs"/>
          <w:rtl/>
        </w:rPr>
        <w:t xml:space="preserve"> اسپرلینگ و همکارانش</w:t>
      </w:r>
      <w:r>
        <w:rPr>
          <w:rFonts w:cs="B Lotus"/>
          <w:rtl/>
        </w:rPr>
        <w:t xml:space="preserve"> از 11 </w:t>
      </w:r>
      <w:r>
        <w:rPr>
          <w:rFonts w:cs="B Lotus" w:hint="cs"/>
          <w:rtl/>
        </w:rPr>
        <w:t>طرح</w:t>
      </w:r>
      <w:r w:rsidRPr="00262069">
        <w:rPr>
          <w:rFonts w:cs="B Lotus"/>
          <w:rtl/>
        </w:rPr>
        <w:t xml:space="preserve"> انرژی شهری، به بررسی</w:t>
      </w:r>
      <w:r>
        <w:rPr>
          <w:rFonts w:cs="B Lotus" w:hint="cs"/>
          <w:rtl/>
          <w:lang w:bidi="fa-IR"/>
        </w:rPr>
        <w:t xml:space="preserve"> میزان مطابقت طرح</w:t>
      </w:r>
      <w:r w:rsidRPr="00262069">
        <w:rPr>
          <w:rFonts w:cs="B Lotus"/>
          <w:rtl/>
        </w:rPr>
        <w:t xml:space="preserve">ریزی انرژی شهری </w:t>
      </w:r>
      <w:r>
        <w:rPr>
          <w:rFonts w:cs="B Lotus" w:hint="cs"/>
          <w:rtl/>
        </w:rPr>
        <w:t>با</w:t>
      </w:r>
      <w:r w:rsidRPr="00262069">
        <w:rPr>
          <w:rFonts w:cs="B Lotus"/>
          <w:rtl/>
        </w:rPr>
        <w:t xml:space="preserve"> </w:t>
      </w:r>
      <w:r w:rsidRPr="00262069">
        <w:rPr>
          <w:rFonts w:cs="B Lotus" w:hint="cs"/>
          <w:rtl/>
        </w:rPr>
        <w:t>استراتژی</w:t>
      </w:r>
      <w:r w:rsidRPr="00262069">
        <w:rPr>
          <w:rFonts w:cs="B Lotus"/>
          <w:rtl/>
        </w:rPr>
        <w:t xml:space="preserve"> </w:t>
      </w:r>
      <w:r w:rsidRPr="00262069">
        <w:rPr>
          <w:rFonts w:cs="B Lotus" w:hint="cs"/>
          <w:rtl/>
        </w:rPr>
        <w:t>ملی</w:t>
      </w:r>
      <w:r w:rsidRPr="00262069">
        <w:rPr>
          <w:rFonts w:cs="B Lotus"/>
          <w:rtl/>
        </w:rPr>
        <w:t xml:space="preserve"> </w:t>
      </w:r>
      <w:r w:rsidRPr="00262069">
        <w:rPr>
          <w:rFonts w:cs="B Lotus" w:hint="cs"/>
          <w:rtl/>
        </w:rPr>
        <w:t>انرژی</w:t>
      </w:r>
      <w:r w:rsidRPr="00262069">
        <w:rPr>
          <w:rFonts w:cs="B Lotus"/>
          <w:rtl/>
        </w:rPr>
        <w:t xml:space="preserve"> 100</w:t>
      </w:r>
      <w:r w:rsidRPr="00262069">
        <w:rPr>
          <w:rFonts w:cs="Times New Roman" w:hint="cs"/>
          <w:rtl/>
        </w:rPr>
        <w:t>٪</w:t>
      </w:r>
      <w:r w:rsidRPr="00262069">
        <w:rPr>
          <w:rFonts w:cs="B Lotus"/>
          <w:rtl/>
        </w:rPr>
        <w:t xml:space="preserve"> </w:t>
      </w:r>
      <w:r w:rsidRPr="00262069">
        <w:rPr>
          <w:rFonts w:cs="B Lotus" w:hint="cs"/>
          <w:rtl/>
        </w:rPr>
        <w:t>تجدید</w:t>
      </w:r>
      <w:r>
        <w:rPr>
          <w:rFonts w:cs="B Lotus" w:hint="cs"/>
          <w:rtl/>
        </w:rPr>
        <w:t xml:space="preserve"> پذیر می</w:t>
      </w:r>
      <w:r>
        <w:rPr>
          <w:rFonts w:cs="B Lotus"/>
          <w:rtl/>
        </w:rPr>
        <w:softHyphen/>
      </w:r>
      <w:r>
        <w:rPr>
          <w:rFonts w:cs="B Lotus" w:hint="cs"/>
          <w:rtl/>
        </w:rPr>
        <w:t>پردازند.</w:t>
      </w:r>
      <w:r w:rsidRPr="00262069">
        <w:rPr>
          <w:rFonts w:cs="B Lotus"/>
          <w:rtl/>
        </w:rPr>
        <w:t xml:space="preserve"> </w:t>
      </w:r>
      <w:r w:rsidRPr="00262069">
        <w:rPr>
          <w:rFonts w:cs="B Lotus" w:hint="cs"/>
          <w:rtl/>
        </w:rPr>
        <w:t>بررسی</w:t>
      </w:r>
      <w:r w:rsidRPr="00262069">
        <w:rPr>
          <w:rFonts w:cs="B Lotus"/>
          <w:rtl/>
        </w:rPr>
        <w:t xml:space="preserve"> 11 </w:t>
      </w:r>
      <w:r>
        <w:rPr>
          <w:rFonts w:cs="B Lotus" w:hint="cs"/>
          <w:rtl/>
        </w:rPr>
        <w:t>طرح</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شهری</w:t>
      </w:r>
      <w:r w:rsidRPr="00262069">
        <w:rPr>
          <w:rFonts w:cs="B Lotus"/>
          <w:rtl/>
        </w:rPr>
        <w:t xml:space="preserve"> </w:t>
      </w:r>
      <w:r w:rsidRPr="00262069">
        <w:rPr>
          <w:rFonts w:cs="B Lotus" w:hint="cs"/>
          <w:rtl/>
        </w:rPr>
        <w:t>نشان</w:t>
      </w:r>
      <w:r w:rsidRPr="00262069">
        <w:rPr>
          <w:rFonts w:cs="B Lotus"/>
          <w:rtl/>
        </w:rPr>
        <w:t xml:space="preserve"> </w:t>
      </w:r>
      <w:r w:rsidRPr="00262069">
        <w:rPr>
          <w:rFonts w:cs="B Lotus" w:hint="cs"/>
          <w:rtl/>
        </w:rPr>
        <w:t>می</w:t>
      </w:r>
      <w:r w:rsidRPr="00262069">
        <w:rPr>
          <w:rFonts w:cs="B Lotus"/>
          <w:rtl/>
        </w:rPr>
        <w:t xml:space="preserve"> </w:t>
      </w:r>
      <w:r w:rsidRPr="00262069">
        <w:rPr>
          <w:rFonts w:cs="B Lotus" w:hint="cs"/>
          <w:rtl/>
        </w:rPr>
        <w:t>دهد</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حالی</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طیف</w:t>
      </w:r>
      <w:r w:rsidRPr="00262069">
        <w:rPr>
          <w:rFonts w:cs="B Lotus"/>
          <w:rtl/>
        </w:rPr>
        <w:t xml:space="preserve"> </w:t>
      </w:r>
      <w:r w:rsidRPr="00262069">
        <w:rPr>
          <w:rFonts w:cs="B Lotus" w:hint="cs"/>
          <w:rtl/>
        </w:rPr>
        <w:t>گسترده</w:t>
      </w:r>
      <w:r w:rsidRPr="00262069">
        <w:rPr>
          <w:rFonts w:cs="B Lotus"/>
          <w:rtl/>
        </w:rPr>
        <w:t xml:space="preserve"> </w:t>
      </w:r>
      <w:r w:rsidRPr="00262069">
        <w:rPr>
          <w:rFonts w:cs="B Lotus" w:hint="cs"/>
          <w:rtl/>
        </w:rPr>
        <w:t>ای</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مناطق</w:t>
      </w:r>
      <w:r w:rsidRPr="00262069">
        <w:rPr>
          <w:rFonts w:cs="B Lotus"/>
          <w:rtl/>
        </w:rPr>
        <w:t xml:space="preserve"> </w:t>
      </w:r>
      <w:r w:rsidRPr="00262069">
        <w:rPr>
          <w:rFonts w:cs="B Lotus" w:hint="cs"/>
          <w:rtl/>
        </w:rPr>
        <w:t>پوشش</w:t>
      </w:r>
      <w:r w:rsidRPr="00262069">
        <w:rPr>
          <w:rFonts w:cs="B Lotus"/>
          <w:rtl/>
        </w:rPr>
        <w:t xml:space="preserve"> </w:t>
      </w:r>
      <w:r w:rsidRPr="00262069">
        <w:rPr>
          <w:rFonts w:cs="B Lotus" w:hint="cs"/>
          <w:rtl/>
        </w:rPr>
        <w:t>داده</w:t>
      </w:r>
      <w:r w:rsidRPr="00262069">
        <w:rPr>
          <w:rFonts w:cs="B Lotus"/>
          <w:rtl/>
        </w:rPr>
        <w:t xml:space="preserve"> </w:t>
      </w:r>
      <w:r w:rsidRPr="00262069">
        <w:rPr>
          <w:rFonts w:cs="B Lotus" w:hint="cs"/>
          <w:rtl/>
        </w:rPr>
        <w:t>شده</w:t>
      </w:r>
      <w:r w:rsidRPr="00262069">
        <w:rPr>
          <w:rFonts w:cs="B Lotus"/>
          <w:rtl/>
        </w:rPr>
        <w:t xml:space="preserve"> </w:t>
      </w:r>
      <w:r w:rsidRPr="00262069">
        <w:rPr>
          <w:rFonts w:cs="B Lotus" w:hint="cs"/>
          <w:rtl/>
        </w:rPr>
        <w:t>است،</w:t>
      </w:r>
      <w:r w:rsidRPr="00262069">
        <w:rPr>
          <w:rFonts w:cs="B Lotus"/>
          <w:rtl/>
        </w:rPr>
        <w:t xml:space="preserve"> </w:t>
      </w:r>
      <w:r>
        <w:rPr>
          <w:rFonts w:cs="B Lotus" w:hint="cs"/>
          <w:rtl/>
        </w:rPr>
        <w:t xml:space="preserve">به جز تعداد کمی </w:t>
      </w:r>
      <w:r w:rsidRPr="00262069">
        <w:rPr>
          <w:rFonts w:cs="B Lotus" w:hint="cs"/>
          <w:rtl/>
        </w:rPr>
        <w:t>از</w:t>
      </w:r>
      <w:r w:rsidRPr="00262069">
        <w:rPr>
          <w:rFonts w:cs="B Lotus"/>
          <w:rtl/>
        </w:rPr>
        <w:t xml:space="preserve"> </w:t>
      </w:r>
      <w:r w:rsidRPr="00262069">
        <w:rPr>
          <w:rFonts w:cs="B Lotus" w:hint="cs"/>
          <w:rtl/>
        </w:rPr>
        <w:t>این</w:t>
      </w:r>
      <w:r w:rsidRPr="00262069">
        <w:rPr>
          <w:rFonts w:cs="B Lotus"/>
          <w:rtl/>
        </w:rPr>
        <w:t xml:space="preserve"> </w:t>
      </w:r>
      <w:r w:rsidRPr="00262069">
        <w:rPr>
          <w:rFonts w:cs="B Lotus" w:hint="cs"/>
          <w:rtl/>
        </w:rPr>
        <w:t>طرح</w:t>
      </w:r>
      <w:r w:rsidRPr="00262069">
        <w:rPr>
          <w:rFonts w:cs="B Lotus"/>
          <w:rtl/>
        </w:rPr>
        <w:t xml:space="preserve"> </w:t>
      </w:r>
      <w:r w:rsidRPr="00262069">
        <w:rPr>
          <w:rFonts w:cs="B Lotus" w:hint="cs"/>
          <w:rtl/>
        </w:rPr>
        <w:t>ها</w:t>
      </w:r>
      <w:r w:rsidRPr="00262069">
        <w:rPr>
          <w:rFonts w:cs="B Lotus"/>
          <w:rtl/>
        </w:rPr>
        <w:t xml:space="preserve"> </w:t>
      </w:r>
      <w:r>
        <w:rPr>
          <w:rFonts w:cs="B Lotus" w:hint="cs"/>
          <w:rtl/>
        </w:rPr>
        <w:t xml:space="preserve">مابقی </w:t>
      </w:r>
      <w:r w:rsidRPr="00262069">
        <w:rPr>
          <w:rFonts w:cs="B Lotus" w:hint="cs"/>
          <w:rtl/>
        </w:rPr>
        <w:t>جزئیات</w:t>
      </w:r>
      <w:r w:rsidRPr="00262069">
        <w:rPr>
          <w:rFonts w:cs="B Lotus"/>
          <w:rtl/>
        </w:rPr>
        <w:t xml:space="preserve"> </w:t>
      </w:r>
      <w:r w:rsidRPr="00262069">
        <w:rPr>
          <w:rFonts w:cs="B Lotus" w:hint="cs"/>
          <w:rtl/>
        </w:rPr>
        <w:t>دقیقی</w:t>
      </w:r>
      <w:r w:rsidRPr="00262069">
        <w:rPr>
          <w:rFonts w:cs="B Lotus"/>
          <w:rtl/>
        </w:rPr>
        <w:t xml:space="preserve"> </w:t>
      </w:r>
      <w:r w:rsidRPr="00262069">
        <w:rPr>
          <w:rFonts w:cs="B Lotus" w:hint="cs"/>
          <w:rtl/>
        </w:rPr>
        <w:t>ندارد</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با</w:t>
      </w:r>
      <w:r w:rsidRPr="00262069">
        <w:rPr>
          <w:rFonts w:cs="B Lotus"/>
          <w:rtl/>
        </w:rPr>
        <w:t xml:space="preserve"> </w:t>
      </w:r>
      <w:r w:rsidRPr="00262069">
        <w:rPr>
          <w:rFonts w:cs="B Lotus" w:hint="cs"/>
          <w:rtl/>
        </w:rPr>
        <w:t>یک</w:t>
      </w:r>
      <w:r w:rsidRPr="00262069">
        <w:rPr>
          <w:rFonts w:cs="B Lotus"/>
          <w:rtl/>
        </w:rPr>
        <w:t xml:space="preserve"> </w:t>
      </w:r>
      <w:r w:rsidRPr="00262069">
        <w:rPr>
          <w:rFonts w:cs="B Lotus" w:hint="cs"/>
          <w:rtl/>
        </w:rPr>
        <w:t>استراتژی</w:t>
      </w:r>
      <w:r w:rsidRPr="00262069">
        <w:rPr>
          <w:rFonts w:cs="B Lotus"/>
          <w:rtl/>
        </w:rPr>
        <w:t xml:space="preserve"> </w:t>
      </w:r>
      <w:r w:rsidRPr="00262069">
        <w:rPr>
          <w:rFonts w:cs="B Lotus" w:hint="cs"/>
          <w:rtl/>
        </w:rPr>
        <w:t>انرژی</w:t>
      </w:r>
      <w:r w:rsidRPr="00262069">
        <w:rPr>
          <w:rFonts w:cs="B Lotus"/>
          <w:rtl/>
        </w:rPr>
        <w:t xml:space="preserve"> 100</w:t>
      </w:r>
      <w:r w:rsidRPr="00262069">
        <w:rPr>
          <w:rFonts w:cs="Times New Roman" w:hint="cs"/>
          <w:rtl/>
        </w:rPr>
        <w:t>٪</w:t>
      </w:r>
      <w:r w:rsidRPr="00262069">
        <w:rPr>
          <w:rFonts w:cs="B Lotus"/>
          <w:rtl/>
        </w:rPr>
        <w:t xml:space="preserve"> </w:t>
      </w:r>
      <w:r w:rsidRPr="00262069">
        <w:rPr>
          <w:rFonts w:cs="B Lotus" w:hint="cs"/>
          <w:rtl/>
        </w:rPr>
        <w:t>تجدید</w:t>
      </w:r>
      <w:r w:rsidRPr="00262069">
        <w:rPr>
          <w:rFonts w:cs="B Lotus"/>
          <w:rtl/>
        </w:rPr>
        <w:t xml:space="preserve"> </w:t>
      </w:r>
      <w:r w:rsidRPr="00262069">
        <w:rPr>
          <w:rFonts w:cs="B Lotus" w:hint="cs"/>
          <w:rtl/>
        </w:rPr>
        <w:t>پذیر</w:t>
      </w:r>
      <w:r w:rsidRPr="00262069">
        <w:rPr>
          <w:rFonts w:cs="B Lotus"/>
          <w:rtl/>
        </w:rPr>
        <w:t xml:space="preserve"> </w:t>
      </w:r>
      <w:r w:rsidRPr="00262069">
        <w:rPr>
          <w:rFonts w:cs="B Lotus" w:hint="cs"/>
          <w:rtl/>
        </w:rPr>
        <w:t>همراه</w:t>
      </w:r>
      <w:r w:rsidRPr="00262069">
        <w:rPr>
          <w:rFonts w:cs="B Lotus"/>
          <w:rtl/>
        </w:rPr>
        <w:t xml:space="preserve"> </w:t>
      </w:r>
      <w:r w:rsidRPr="00262069">
        <w:rPr>
          <w:rFonts w:cs="B Lotus" w:hint="cs"/>
          <w:rtl/>
        </w:rPr>
        <w:t>باشد</w:t>
      </w:r>
      <w:r w:rsidRPr="00262069">
        <w:rPr>
          <w:rFonts w:cs="B Lotus"/>
          <w:rtl/>
        </w:rPr>
        <w:t xml:space="preserve">. </w:t>
      </w:r>
      <w:r w:rsidRPr="00262069">
        <w:rPr>
          <w:rFonts w:cs="B Lotus" w:hint="cs"/>
          <w:rtl/>
        </w:rPr>
        <w:t>این</w:t>
      </w:r>
      <w:r w:rsidRPr="00262069">
        <w:rPr>
          <w:rFonts w:cs="B Lotus"/>
          <w:rtl/>
        </w:rPr>
        <w:t xml:space="preserve"> </w:t>
      </w:r>
      <w:r w:rsidRPr="00262069">
        <w:rPr>
          <w:rFonts w:cs="B Lotus" w:hint="cs"/>
          <w:rtl/>
        </w:rPr>
        <w:t>امر</w:t>
      </w:r>
      <w:r w:rsidRPr="00262069">
        <w:rPr>
          <w:rFonts w:cs="B Lotus"/>
          <w:rtl/>
        </w:rPr>
        <w:t xml:space="preserve"> </w:t>
      </w:r>
      <w:r w:rsidRPr="00262069">
        <w:rPr>
          <w:rFonts w:cs="B Lotus" w:hint="cs"/>
          <w:rtl/>
        </w:rPr>
        <w:t>می</w:t>
      </w:r>
      <w:r w:rsidRPr="00262069">
        <w:rPr>
          <w:rFonts w:cs="B Lotus"/>
          <w:rtl/>
        </w:rPr>
        <w:t xml:space="preserve"> </w:t>
      </w:r>
      <w:r w:rsidRPr="00262069">
        <w:rPr>
          <w:rFonts w:cs="B Lotus" w:hint="cs"/>
          <w:rtl/>
        </w:rPr>
        <w:t>تواند</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دلیل</w:t>
      </w:r>
      <w:r w:rsidRPr="00262069">
        <w:rPr>
          <w:rFonts w:cs="B Lotus"/>
          <w:rtl/>
        </w:rPr>
        <w:t xml:space="preserve"> </w:t>
      </w:r>
      <w:r w:rsidRPr="00262069">
        <w:rPr>
          <w:rFonts w:cs="B Lotus" w:hint="cs"/>
          <w:rtl/>
        </w:rPr>
        <w:t>فقدان</w:t>
      </w:r>
      <w:r w:rsidRPr="00262069">
        <w:rPr>
          <w:rFonts w:cs="B Lotus"/>
          <w:rtl/>
        </w:rPr>
        <w:t xml:space="preserve"> </w:t>
      </w:r>
      <w:r w:rsidRPr="00262069">
        <w:rPr>
          <w:rFonts w:cs="B Lotus" w:hint="cs"/>
          <w:rtl/>
        </w:rPr>
        <w:t>یک</w:t>
      </w:r>
      <w:r w:rsidRPr="00262069">
        <w:rPr>
          <w:rFonts w:cs="B Lotus"/>
          <w:rtl/>
        </w:rPr>
        <w:t xml:space="preserve"> </w:t>
      </w:r>
      <w:r w:rsidRPr="00262069">
        <w:rPr>
          <w:rFonts w:cs="B Lotus" w:hint="cs"/>
          <w:rtl/>
        </w:rPr>
        <w:t>استراتژی</w:t>
      </w:r>
      <w:r w:rsidRPr="00262069">
        <w:rPr>
          <w:rFonts w:cs="B Lotus"/>
          <w:rtl/>
        </w:rPr>
        <w:t xml:space="preserve"> </w:t>
      </w:r>
      <w:r w:rsidRPr="00262069">
        <w:rPr>
          <w:rFonts w:cs="B Lotus" w:hint="cs"/>
          <w:rtl/>
        </w:rPr>
        <w:t>ملی</w:t>
      </w:r>
      <w:r w:rsidRPr="00262069">
        <w:rPr>
          <w:rFonts w:cs="B Lotus"/>
          <w:rtl/>
        </w:rPr>
        <w:t xml:space="preserve"> </w:t>
      </w:r>
      <w:r w:rsidRPr="00262069">
        <w:rPr>
          <w:rFonts w:cs="B Lotus" w:hint="cs"/>
          <w:rtl/>
        </w:rPr>
        <w:t>برای</w:t>
      </w:r>
      <w:r w:rsidRPr="00262069">
        <w:rPr>
          <w:rFonts w:cs="B Lotus"/>
          <w:rtl/>
        </w:rPr>
        <w:t xml:space="preserve"> </w:t>
      </w:r>
      <w:r>
        <w:rPr>
          <w:rFonts w:cs="B Lotus" w:hint="cs"/>
          <w:rtl/>
        </w:rPr>
        <w:t>طرح</w:t>
      </w:r>
      <w:r>
        <w:rPr>
          <w:rFonts w:cs="B Lotus"/>
          <w:rtl/>
        </w:rPr>
        <w:softHyphen/>
      </w:r>
      <w:r w:rsidRPr="00262069">
        <w:rPr>
          <w:rFonts w:cs="B Lotus" w:hint="cs"/>
          <w:rtl/>
        </w:rPr>
        <w:t>ریزی</w:t>
      </w:r>
      <w:r w:rsidRPr="00262069">
        <w:rPr>
          <w:rFonts w:cs="B Lotus"/>
          <w:rtl/>
        </w:rPr>
        <w:t xml:space="preserve"> </w:t>
      </w:r>
      <w:r w:rsidRPr="00262069">
        <w:rPr>
          <w:rFonts w:cs="B Lotus" w:hint="cs"/>
          <w:rtl/>
        </w:rPr>
        <w:t>منابع</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شهری،</w:t>
      </w:r>
      <w:r w:rsidRPr="00262069">
        <w:rPr>
          <w:rFonts w:cs="B Lotus"/>
          <w:rtl/>
        </w:rPr>
        <w:t xml:space="preserve"> </w:t>
      </w:r>
      <w:r w:rsidRPr="00262069">
        <w:rPr>
          <w:rFonts w:cs="B Lotus" w:hint="cs"/>
          <w:rtl/>
        </w:rPr>
        <w:t>چارچوب</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سازمانی</w:t>
      </w:r>
      <w:r w:rsidRPr="00262069">
        <w:rPr>
          <w:rFonts w:cs="B Lotus"/>
          <w:rtl/>
        </w:rPr>
        <w:t xml:space="preserve"> </w:t>
      </w:r>
      <w:r w:rsidRPr="00262069">
        <w:rPr>
          <w:rFonts w:cs="B Lotus" w:hint="cs"/>
          <w:rtl/>
        </w:rPr>
        <w:t>نامناسب</w:t>
      </w:r>
      <w:r w:rsidRPr="00262069">
        <w:rPr>
          <w:rFonts w:cs="B Lotus"/>
          <w:rtl/>
        </w:rPr>
        <w:t xml:space="preserve"> </w:t>
      </w:r>
      <w:r w:rsidRPr="00262069">
        <w:rPr>
          <w:rFonts w:cs="B Lotus" w:hint="cs"/>
          <w:rtl/>
        </w:rPr>
        <w:t>برای</w:t>
      </w:r>
      <w:r w:rsidRPr="00262069">
        <w:rPr>
          <w:rFonts w:cs="B Lotus"/>
          <w:rtl/>
        </w:rPr>
        <w:t xml:space="preserve"> </w:t>
      </w:r>
      <w:r w:rsidRPr="00262069">
        <w:rPr>
          <w:rFonts w:cs="B Lotus" w:hint="cs"/>
          <w:rtl/>
        </w:rPr>
        <w:t>فن</w:t>
      </w:r>
      <w:r w:rsidRPr="00262069">
        <w:rPr>
          <w:rFonts w:cs="B Lotus"/>
          <w:rtl/>
        </w:rPr>
        <w:t xml:space="preserve"> </w:t>
      </w:r>
      <w:r w:rsidRPr="00262069">
        <w:rPr>
          <w:rFonts w:cs="B Lotus" w:hint="cs"/>
          <w:rtl/>
        </w:rPr>
        <w:t>آوری</w:t>
      </w:r>
      <w:r w:rsidRPr="00262069">
        <w:rPr>
          <w:rFonts w:cs="B Lotus"/>
          <w:rtl/>
        </w:rPr>
        <w:t xml:space="preserve"> </w:t>
      </w:r>
      <w:r w:rsidRPr="00262069">
        <w:rPr>
          <w:rFonts w:cs="B Lotus" w:hint="cs"/>
          <w:rtl/>
        </w:rPr>
        <w:t>ها</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راه</w:t>
      </w:r>
      <w:r w:rsidRPr="00262069">
        <w:rPr>
          <w:rFonts w:cs="B Lotus"/>
          <w:rtl/>
        </w:rPr>
        <w:t xml:space="preserve"> </w:t>
      </w:r>
      <w:r w:rsidRPr="00262069">
        <w:rPr>
          <w:rFonts w:cs="B Lotus" w:hint="cs"/>
          <w:rtl/>
        </w:rPr>
        <w:t>حل</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خاص</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نتیجه</w:t>
      </w:r>
      <w:r w:rsidRPr="00262069">
        <w:rPr>
          <w:rFonts w:cs="B Lotus"/>
          <w:rtl/>
        </w:rPr>
        <w:t xml:space="preserve"> </w:t>
      </w:r>
      <w:r w:rsidRPr="00262069">
        <w:rPr>
          <w:rFonts w:cs="B Lotus" w:hint="cs"/>
          <w:rtl/>
        </w:rPr>
        <w:t>فقدان</w:t>
      </w:r>
      <w:r w:rsidRPr="00262069">
        <w:rPr>
          <w:rFonts w:cs="B Lotus"/>
          <w:rtl/>
        </w:rPr>
        <w:t xml:space="preserve"> مهارت </w:t>
      </w:r>
      <w:r>
        <w:rPr>
          <w:rFonts w:cs="B Lotus" w:hint="cs"/>
          <w:rtl/>
        </w:rPr>
        <w:t>طرح</w:t>
      </w:r>
      <w:r>
        <w:rPr>
          <w:rFonts w:cs="B Lotus"/>
          <w:rtl/>
        </w:rPr>
        <w:softHyphen/>
      </w:r>
      <w:r w:rsidRPr="00262069">
        <w:rPr>
          <w:rFonts w:cs="B Lotus"/>
          <w:rtl/>
        </w:rPr>
        <w:t>ریزی لازم در شهرها توضیح داده شود</w:t>
      </w:r>
      <w:r w:rsidRPr="00262069">
        <w:rPr>
          <w:rFonts w:cs="B Lotus"/>
          <w:rtl/>
        </w:rPr>
        <w:fldChar w:fldCharType="begin" w:fldLock="1"/>
      </w:r>
      <w:r>
        <w:rPr>
          <w:rFonts w:cs="B Lotus"/>
        </w:rPr>
        <w:instrText>ADDIN CSL_CITATION { "citationItems" : [ { "id" : "ITEM-1", "itemData" : { "DOI" : "10.1016/j.enpol.2010.12.006", "ISBN" : "0301-4215", "ISSN" : "03014215", "abstract" : "Denmark's future energy system is to be entirely based on renewable energy sources. Municipalities will play an important role as local energy planning authorities in terms of adopting and refining this vision in different local contexts. Based on a review of 11 municipal energy plans, this paper examines to what extent municipal energy planning matches national 100% renewable energy strategies. The results indicate a willingness among Danish municipalities to actively carry out energy planning, and the plans reveal a large diversity of (new) activities. At the same time, however, there is a strong need for better coordination of municipal energy planning activities at the central level. It is suggested that the role of municipalities as energy planning authorities needs to be outlined more clearly in, e.g., strategic energy planning which integrates savings, efficiency and renewable energy in all (energy) sectors. This requires the state to provide municipalities with the necessary planning instruments and establish a corresponding planning framework. Consequently, there is a need for a simultaneous centralisation and decentralisation during the implementation of the 100% renewable energy vision. The paper outlines a basic division of tasks between the central and the local level within such a strategic energy planning system. ?? 2010 Elsevier Ltd.", "author" : [ { "dropping-particle" : "", "family" : "Sperling", "given" : "Karl", "non-dropping-particle" : "", "parse-names" : false, "suffix" : "" }, { "dropping-particle" : "", "family" : "Hvelplund", "given" : "Frede", "non-dropping-particle" : "", "parse-names" : false, "suffix" : "" }, { "dropping-particle" : "", "family" : "Mathiesen", "given" : "Brian Vad", "non-dropping-particle" : "", "parse-names" : false, "suffix" : "" } ], "container-title" : "Energy Policy", "id" : "ITEM-1", "issue" : "3", "issued" : { "date-parts" : [ [ "2011" ] ] }, "page" : "1338-1351", "publisher" : "Elsevier", "title" : "Centralisation and decentralisation in strategic municipal energy planning in Denmark", "type" : "article-journal", "volume" : "39" }, "uris" : [ "http://www.mendeley.com/documents/?uuid=88ccdc2f-eafe-4baa-a52d-fd6edc889b07" ] } ], "mendeley" : { "formattedCitation" : "(Sperling, Hvelplund, &amp; Mathiesen, 2011)", "plainTextFormattedCitation" : "(Sperling, Hvelplund, &amp; Mathiesen, 2011)", "previouslyFormattedCitation" : "(Sperling, Hvelplund, &amp; Mathiesen, 2011)" }, "properties" : {  }, "schema" : "https://github.com/citation-style-language/schema/raw/master/csl-citation.json" }</w:instrText>
      </w:r>
      <w:r w:rsidRPr="00262069">
        <w:rPr>
          <w:rFonts w:cs="B Lotus"/>
          <w:rtl/>
        </w:rPr>
        <w:fldChar w:fldCharType="separate"/>
      </w:r>
      <w:r w:rsidRPr="00BB5C08">
        <w:rPr>
          <w:rFonts w:cs="B Lotus"/>
          <w:noProof/>
        </w:rPr>
        <w:t>(Sperling, Hvelplund, &amp; Mathiesen, 2011)</w:t>
      </w:r>
      <w:r w:rsidRPr="00262069">
        <w:rPr>
          <w:rFonts w:cs="B Lotus"/>
          <w:rtl/>
        </w:rPr>
        <w:fldChar w:fldCharType="end"/>
      </w:r>
      <w:r w:rsidRPr="00262069">
        <w:rPr>
          <w:rFonts w:cs="B Lotus"/>
          <w:rtl/>
        </w:rPr>
        <w:t xml:space="preserve">. </w:t>
      </w:r>
    </w:p>
    <w:p w14:paraId="61C8E0A1" w14:textId="77777777" w:rsidR="00D358DA" w:rsidRDefault="003D0138" w:rsidP="002F0D7F">
      <w:pPr>
        <w:bidi/>
        <w:rPr>
          <w:rtl/>
        </w:rPr>
      </w:pPr>
      <w:r>
        <w:rPr>
          <w:rFonts w:cs="B Lotus" w:hint="cs"/>
          <w:rtl/>
          <w:lang w:bidi="fa-IR"/>
        </w:rPr>
        <w:t>دوماک و همکارانش</w:t>
      </w:r>
      <w:r w:rsidRPr="00262069">
        <w:rPr>
          <w:rFonts w:cs="B Lotus"/>
          <w:rtl/>
        </w:rPr>
        <w:t xml:space="preserve"> رویکرد </w:t>
      </w:r>
      <w:r>
        <w:rPr>
          <w:rFonts w:cs="B Lotus" w:hint="cs"/>
          <w:rtl/>
        </w:rPr>
        <w:t xml:space="preserve">ارائه می دهند که </w:t>
      </w:r>
      <w:r w:rsidRPr="00262069">
        <w:rPr>
          <w:rFonts w:cs="B Lotus"/>
          <w:rtl/>
        </w:rPr>
        <w:t>با ارزیابی های قبلی "بالا به پایین" یا "استراتژی</w:t>
      </w:r>
      <w:r>
        <w:rPr>
          <w:rFonts w:cs="B Lotus"/>
          <w:rtl/>
        </w:rPr>
        <w:softHyphen/>
      </w:r>
      <w:r>
        <w:rPr>
          <w:rFonts w:cs="B Lotus" w:hint="cs"/>
          <w:rtl/>
        </w:rPr>
        <w:t>های</w:t>
      </w:r>
      <w:r w:rsidRPr="00262069">
        <w:rPr>
          <w:rFonts w:cs="B Lotus"/>
          <w:rtl/>
        </w:rPr>
        <w:t xml:space="preserve">" قبلی متفاوت است، پیاده سازی رویکرد توسعه یافته در شهرستان کارلوکاک (غرب کرواسی) نشان داده است که دارای قابلیت بالقوه برای استفاده از </w:t>
      </w:r>
      <w:r w:rsidRPr="00262069">
        <w:rPr>
          <w:rFonts w:cs="B Lotus"/>
        </w:rPr>
        <w:t>RES</w:t>
      </w:r>
      <w:r>
        <w:rPr>
          <w:rFonts w:cs="B Lotus"/>
          <w:rtl/>
        </w:rPr>
        <w:t xml:space="preserve"> مختلف است. نتایج اصلی</w:t>
      </w:r>
      <w:r w:rsidRPr="00262069">
        <w:rPr>
          <w:rFonts w:cs="B Lotus"/>
          <w:rtl/>
        </w:rPr>
        <w:t xml:space="preserve"> تصویب استراتژی منطقه ای برای استفاده از منابع انرژی تجدید پذیر در شهرستان </w:t>
      </w:r>
      <w:r w:rsidRPr="00262069">
        <w:rPr>
          <w:rFonts w:cs="B Lotus"/>
        </w:rPr>
        <w:t>Karlovac</w:t>
      </w:r>
      <w:r w:rsidRPr="00262069">
        <w:rPr>
          <w:rFonts w:cs="B Lotus"/>
          <w:rtl/>
        </w:rPr>
        <w:t xml:space="preserve">؛ تعدادی از پروژه های مشخص شناسایی، </w:t>
      </w:r>
      <w:r w:rsidRPr="00262069">
        <w:rPr>
          <w:rFonts w:cs="B Lotus"/>
          <w:rtl/>
        </w:rPr>
        <w:lastRenderedPageBreak/>
        <w:t xml:space="preserve">پشتیبانی و راه اندازی </w:t>
      </w:r>
      <w:r>
        <w:rPr>
          <w:rFonts w:cs="B Lotus" w:hint="cs"/>
          <w:rtl/>
        </w:rPr>
        <w:t>کرده اند</w:t>
      </w:r>
      <w:r w:rsidRPr="00262069">
        <w:rPr>
          <w:rFonts w:cs="B Lotus"/>
          <w:rtl/>
        </w:rPr>
        <w:t xml:space="preserve">. و یک آژانس انرژی منطقه ای به عنوان عامل اجرایی برای پروژه های انرژی تجدید پذیر آینده ایجاد </w:t>
      </w:r>
      <w:r>
        <w:rPr>
          <w:rFonts w:cs="B Lotus" w:hint="cs"/>
          <w:rtl/>
        </w:rPr>
        <w:t>کرده</w:t>
      </w:r>
      <w:r>
        <w:rPr>
          <w:rFonts w:cs="B Lotus"/>
          <w:rtl/>
        </w:rPr>
        <w:softHyphen/>
      </w:r>
      <w:r>
        <w:rPr>
          <w:rFonts w:cs="B Lotus" w:hint="cs"/>
          <w:rtl/>
        </w:rPr>
        <w:t>اند</w:t>
      </w:r>
      <w:r w:rsidRPr="00262069">
        <w:rPr>
          <w:rFonts w:cs="B Lotus"/>
          <w:rtl/>
        </w:rPr>
        <w:fldChar w:fldCharType="begin" w:fldLock="1"/>
      </w:r>
      <w:r>
        <w:rPr>
          <w:rFonts w:cs="B Lotus"/>
        </w:rPr>
        <w:instrText>ADDIN CSL_CITATION { "citationItems" : [ { "id" : "ITEM-1", "itemData" : { "DOI" : "10.1016/j.biombioe.2011.07.018", "ISSN" : "09619534", "abstract" : "Renewable energy sources (RES) are being increasingly considered as key elements in future development strategies on a national, regional and local level. This paper discusses the methodological approach to local energy planning proposed by the authors and identifies the most important drivers for its application at the regional level. This approach is different to the previous 'top-down' or strategic assessments as seen many times in the past in Croatia and is expected to herald a new future for the local community ownership and 'buy-in' to renewable energy, resulting in the greater probability of individual project success where local stakeholder sympathy is retained. The implementation of the developed approach is demonstrated on Karlovac County (western Croatia), which has considerable potential for the utilisation of different RES. The main outcomes are described: approved Regional strategy for utilisation of renewable energy sources in the Karlovac County; number of individual projects identified, supported and launched; and a Regional energy agency created as the implementing body for future renewable energy projects. ?? 2011 Elsevier Ltd.", "author" : [ { "dropping-particle" : "", "family" : "Domac", "given" : "J.", "non-dropping-particle" : "", "parse-names" : false, "suffix" : "" }, { "dropping-particle" : "", "family" : "Segon", "given" : "V.", "non-dropping-particle" : "", "parse-names" : false, "suffix" : "" }, { "dropping-particle" : "", "family" : "Przulj", "given" : "I.", "non-dropping-particle" : "", "parse-names" : false, "suffix" : "" }, { "dropping-particle" : "", "family" : "Rajic", "given" : "K.", "non-dropping-particle" : "", "parse-names" : false, "suffix" : "" } ], "container-title" : "Biomass and Bioenergy", "id" : "ITEM-1", "issue" : "11", "issued" : { "date-parts" : [ [ "2011" ] ] }, "page" : "4504-4510", "publisher" : "Elsevier Ltd", "title" : "Regional energy planning methodology, drivers and implementation - Karlovac County case study", "type" : "article-journal", "volume" : "35" }, "uris" : [ "http://www.mendeley.com/documents/?uuid=894bcc61-a11f-4805-9592-0780bce4e527" ] } ], "mendeley" : { "formattedCitation" : "(Domac, Segon, Przulj, &amp; Rajic, 2011)", "plainTextFormattedCitation" : "(Domac, Segon, Przulj, &amp; Rajic, 2011)", "previouslyFormattedCitation" : "(Domac, Segon, Przulj, &amp; Rajic, 2011)" }, "properties" : {  }, "schema" : "https://github.com/citation-style-language/schema/raw/master/csl-citation.json" }</w:instrText>
      </w:r>
      <w:r w:rsidRPr="00262069">
        <w:rPr>
          <w:rFonts w:cs="B Lotus"/>
          <w:rtl/>
        </w:rPr>
        <w:fldChar w:fldCharType="separate"/>
      </w:r>
      <w:r w:rsidRPr="00BB5C08">
        <w:rPr>
          <w:rFonts w:cs="B Lotus"/>
          <w:noProof/>
        </w:rPr>
        <w:t>(Domac, Segon, Przulj, &amp; Rajic, 2011)</w:t>
      </w:r>
      <w:r w:rsidRPr="00262069">
        <w:rPr>
          <w:rFonts w:cs="B Lotus"/>
          <w:rtl/>
        </w:rPr>
        <w:fldChar w:fldCharType="end"/>
      </w:r>
      <w:r w:rsidRPr="00262069">
        <w:rPr>
          <w:rFonts w:cs="B Lotus"/>
          <w:rtl/>
        </w:rPr>
        <w:t>.</w:t>
      </w:r>
    </w:p>
    <w:p w14:paraId="725E63C4" w14:textId="77777777" w:rsidR="00D358DA" w:rsidRDefault="00D358DA" w:rsidP="002F0D7F">
      <w:pPr>
        <w:bidi/>
        <w:rPr>
          <w:rtl/>
        </w:rPr>
      </w:pPr>
      <w:r>
        <w:rPr>
          <w:rtl/>
        </w:rPr>
        <w:t>ارزیابی چرخه حیات (</w:t>
      </w:r>
      <w:r>
        <w:t>LCA</w:t>
      </w:r>
      <w:r>
        <w:rPr>
          <w:rtl/>
        </w:rPr>
        <w:t>) به عنوان یک ابزار تحلیلی در ارزیابی استراتژیک محیطی (</w:t>
      </w:r>
      <w:r>
        <w:t>SEA</w:t>
      </w:r>
      <w:r>
        <w:rPr>
          <w:rtl/>
        </w:rPr>
        <w:t xml:space="preserve">) مورد بررسی قرار گرفته است، نشان داده شده در مواردی که یک فرایند پیشگیرانه </w:t>
      </w:r>
      <w:r>
        <w:t>SEA</w:t>
      </w:r>
      <w:r>
        <w:rPr>
          <w:rtl/>
        </w:rPr>
        <w:t xml:space="preserve"> برای برنامه ریزی منابع انرژی شهری در سوئد اعمال شد. این فرایند یک ابزار تصمیم گیری برای تصمیم گیری سناریو، مشارکت عمومی و ارزیابی محیط زیست است. این مقاله استفاده از </w:t>
      </w:r>
      <w:r>
        <w:t>LCA</w:t>
      </w:r>
      <w:r>
        <w:rPr>
          <w:rtl/>
        </w:rPr>
        <w:t xml:space="preserve"> برای ارزیابی محیط زیست در این زمینه را با تمرکز بر روش شناسی و تجربیات عملی توصیف می کند. در حالی که </w:t>
      </w:r>
      <w:r>
        <w:t>LCA</w:t>
      </w:r>
      <w:r>
        <w:rPr>
          <w:rtl/>
        </w:rPr>
        <w:t xml:space="preserve"> یک چارچوب سیستماتیک برای ارزیابی محیط زیست و چشم انداز سیستم های گسترده تر از آنچه در </w:t>
      </w:r>
      <w:r>
        <w:t>SEA</w:t>
      </w:r>
      <w:r>
        <w:rPr>
          <w:rtl/>
        </w:rPr>
        <w:t xml:space="preserve"> مورد نیاز است، </w:t>
      </w:r>
      <w:r>
        <w:t>LCA</w:t>
      </w:r>
      <w:r>
        <w:rPr>
          <w:rtl/>
        </w:rPr>
        <w:t xml:space="preserve"> نمی تواند تمام جنبه های تاثیرات زیست محیطی مورد نیاز را مورد توجه قرار دهد و بنابراین باید با ابزار های دیگر آن را تکمیل کند. ادغام </w:t>
      </w:r>
      <w:r>
        <w:t>LCA</w:t>
      </w:r>
      <w:r>
        <w:rPr>
          <w:rtl/>
        </w:rPr>
        <w:t xml:space="preserve"> با ابزارهای مشارکت عمومی و برنامه ریزی سناریو، چالش های روش شناختی خاصی را ارائه داد، اما روش جدیدی را برای طراحی محدوده ارزیابی محیط زیست و تعیین و ارزیابی گزینه ها ارائه داد</w:t>
      </w:r>
      <w:r>
        <w:rPr>
          <w:rtl/>
        </w:rPr>
        <w:fldChar w:fldCharType="begin" w:fldLock="1"/>
      </w:r>
      <w:r>
        <w:instrText>ADDIN CSL_CITATION { "citationItems" : [ { "id" : "ITEM-1", "itemData" : { "DOI" : "10.1016/j.eiar.2011.04.001", "ISBN" : "0195-9255", "ISSN" : "01959255", "abstract" : "Life cycle assessment (LCA) is explored as an analytical tool in strategic environmental assessment (SEA), illustrated by case where a previously developed SEA process was applied to municipal energy planning in Sweden. The process integrated decision-making tools for scenario planning, public participation and environmental assessment. This article describes the use of LCA for environmental assessment in this context, with focus on methodology and practical experiences. While LCA provides a systematic framework for the environmental assessment and a wider systems perspective than what is required in SEA, LCA cannot address all aspects of environmental impact required, and therefore needs to be complemented by other tools. The integration of LCA with tools for public participation and scenario planning posed certain methodological challenges, but provided an innovative approach to designing the scope of the environmental assessment and defining and assessing alternatives. \u00a9 2011 Elsevier Inc.", "author" : [ { "dropping-particle" : "", "family" : "Bj\u00f6rklund", "given" : "Anna", "non-dropping-particle" : "", "parse-names" : false, "suffix" : "" } ], "container-title" : "Environmental Impact Assessment Review", "id" : "ITEM-1", "issue" : "1", "issued" : { "date-parts" : [ [ "2012" ] ] }, "page" : "82-87", "publisher" : "Elsevier Inc.", "title" : "Life cycle assessment as an analytical tool in strategic environmental assessment. Lessons learned from a case study on municipal energy planning in Sweden", "type" : "article-journal", "volume" : "32" }, "uris" : [ "http://www.mendeley.com/documents/?uuid=4e02d99f-f9f0-4b17-9d6e-909bdc94c3d6" ] } ], "mendeley" : { "formattedCitation" : "(Bj\u00f6rklund, 2012)", "plainTextFormattedCitation" : "(Bj\u00f6rklund, 2012)", "previouslyFormattedCitation" : "(Bj\u00f6rklund, 2012)" }, "properties" : {  }, "schema" : "https://github.com/citation-style-language/schema/raw/master/csl-citation.json" }</w:instrText>
      </w:r>
      <w:r>
        <w:rPr>
          <w:rtl/>
        </w:rPr>
        <w:fldChar w:fldCharType="separate"/>
      </w:r>
      <w:r w:rsidRPr="00D358DA">
        <w:rPr>
          <w:noProof/>
        </w:rPr>
        <w:t>(Björklund, 2012)</w:t>
      </w:r>
      <w:r>
        <w:rPr>
          <w:rtl/>
        </w:rPr>
        <w:fldChar w:fldCharType="end"/>
      </w:r>
      <w:r>
        <w:rPr>
          <w:rtl/>
        </w:rPr>
        <w:t>.</w:t>
      </w:r>
    </w:p>
    <w:p w14:paraId="2A2649E5" w14:textId="77777777" w:rsidR="00BC4CC7" w:rsidRDefault="003D0138" w:rsidP="002F0D7F">
      <w:pPr>
        <w:bidi/>
        <w:rPr>
          <w:rFonts w:cs="Arial"/>
          <w:lang w:bidi="fa-IR"/>
        </w:rPr>
      </w:pPr>
      <w:r w:rsidRPr="00262069">
        <w:rPr>
          <w:rFonts w:cs="B Lotus"/>
          <w:rtl/>
        </w:rPr>
        <w:t xml:space="preserve">یک چارچوب سازمانی جدید از </w:t>
      </w:r>
      <w:r w:rsidRPr="00262069">
        <w:rPr>
          <w:rFonts w:cs="B Lotus"/>
        </w:rPr>
        <w:t>MEEMS</w:t>
      </w:r>
      <w:r w:rsidRPr="00262069">
        <w:rPr>
          <w:rFonts w:cs="B Lotus"/>
          <w:rtl/>
        </w:rPr>
        <w:t xml:space="preserve"> (انرژی شهری و سیستم مدیریت مح</w:t>
      </w:r>
      <w:r>
        <w:rPr>
          <w:rFonts w:cs="B Lotus" w:hint="cs"/>
          <w:rtl/>
        </w:rPr>
        <w:t>ی</w:t>
      </w:r>
      <w:r w:rsidRPr="00262069">
        <w:rPr>
          <w:rFonts w:cs="B Lotus"/>
          <w:rtl/>
        </w:rPr>
        <w:t>ط</w:t>
      </w:r>
      <w:r>
        <w:rPr>
          <w:rFonts w:cs="B Lotus"/>
          <w:rtl/>
        </w:rPr>
        <w:softHyphen/>
      </w:r>
      <w:r w:rsidRPr="00262069">
        <w:rPr>
          <w:rFonts w:cs="B Lotus"/>
          <w:rtl/>
        </w:rPr>
        <w:t>زیست)</w:t>
      </w:r>
      <w:r>
        <w:rPr>
          <w:rFonts w:cs="B Lotus" w:hint="cs"/>
          <w:rtl/>
        </w:rPr>
        <w:t xml:space="preserve"> </w:t>
      </w:r>
      <w:r w:rsidRPr="00262069">
        <w:rPr>
          <w:rFonts w:cs="B Lotus"/>
          <w:rtl/>
        </w:rPr>
        <w:t xml:space="preserve">پیشنهاد شده است و بر سه اساس تشکیل شده است: ادغام روش متابولیسم شهری، </w:t>
      </w:r>
      <w:r w:rsidRPr="00262069">
        <w:rPr>
          <w:rFonts w:cs="B Lotus"/>
        </w:rPr>
        <w:t>KBS</w:t>
      </w:r>
      <w:r w:rsidRPr="00262069">
        <w:rPr>
          <w:rFonts w:cs="B Lotus"/>
          <w:rtl/>
        </w:rPr>
        <w:t xml:space="preserve"> (سیستم مبتنی بر دانش) و </w:t>
      </w:r>
      <w:r w:rsidRPr="00262069">
        <w:rPr>
          <w:rFonts w:cs="B Lotus"/>
        </w:rPr>
        <w:t>MTIS</w:t>
      </w:r>
      <w:r w:rsidRPr="00262069">
        <w:rPr>
          <w:rFonts w:cs="B Lotus"/>
          <w:rtl/>
        </w:rPr>
        <w:t xml:space="preserve"> (سیستم نوآوری فناوری شهری</w:t>
      </w:r>
      <w:r>
        <w:rPr>
          <w:rFonts w:cs="B Lotus" w:hint="cs"/>
          <w:rtl/>
        </w:rPr>
        <w:t xml:space="preserve">. </w:t>
      </w:r>
      <w:r w:rsidRPr="00262069">
        <w:rPr>
          <w:rFonts w:cs="B Lotus"/>
          <w:rtl/>
        </w:rPr>
        <w:t xml:space="preserve">مفهوم ارائه شده </w:t>
      </w:r>
      <w:r w:rsidRPr="00262069">
        <w:rPr>
          <w:rFonts w:cs="B Lotus"/>
        </w:rPr>
        <w:t>MEEMS</w:t>
      </w:r>
      <w:r w:rsidRPr="00262069">
        <w:rPr>
          <w:rFonts w:cs="B Lotus"/>
          <w:rtl/>
        </w:rPr>
        <w:t xml:space="preserve"> یک چارچوب منسجم برای اجرای سیاست مطلوب را معرفی کرد. این ترکیبی از زیر سیستم های متصل به مسائل مربوط به محیط زیست و انرژی می تواند اثر هم افزایی و همچنین پس انداز انرژی، اقتصادی و فنی را ایجاد کند. یکپارچه سازی </w:t>
      </w:r>
      <w:r w:rsidRPr="00262069">
        <w:rPr>
          <w:rFonts w:cs="B Lotus"/>
        </w:rPr>
        <w:t>KBS</w:t>
      </w:r>
      <w:r w:rsidRPr="00262069">
        <w:rPr>
          <w:rFonts w:cs="B Lotus"/>
          <w:rtl/>
        </w:rPr>
        <w:t>، مکانیزم نفوذ فناوری، جهت گیری</w:t>
      </w:r>
      <w:r>
        <w:rPr>
          <w:rFonts w:cs="B Lotus"/>
          <w:rtl/>
        </w:rPr>
        <w:t xml:space="preserve"> کاربر نهایی و متابولیسم، اشاره</w:t>
      </w:r>
      <w:r>
        <w:rPr>
          <w:rFonts w:cs="B Lotus"/>
          <w:rtl/>
        </w:rPr>
        <w:softHyphen/>
      </w:r>
      <w:r w:rsidRPr="00262069">
        <w:rPr>
          <w:rFonts w:cs="B Lotus"/>
          <w:rtl/>
        </w:rPr>
        <w:t>گر ارزشمند به کارآمد</w:t>
      </w:r>
      <w:r>
        <w:rPr>
          <w:rFonts w:cs="B Lotus" w:hint="cs"/>
          <w:rtl/>
        </w:rPr>
        <w:t>ی</w:t>
      </w:r>
      <w:r w:rsidRPr="00262069">
        <w:rPr>
          <w:rFonts w:cs="B Lotus"/>
          <w:rtl/>
        </w:rPr>
        <w:t xml:space="preserve"> </w:t>
      </w:r>
      <w:r w:rsidRPr="00262069">
        <w:rPr>
          <w:rFonts w:cs="B Lotus"/>
        </w:rPr>
        <w:t>MEEMS</w:t>
      </w:r>
      <w:r w:rsidRPr="00262069">
        <w:rPr>
          <w:rFonts w:cs="B Lotus"/>
          <w:rtl/>
        </w:rPr>
        <w:t xml:space="preserve"> است</w:t>
      </w:r>
      <w:r w:rsidRPr="00262069">
        <w:rPr>
          <w:rFonts w:cs="B Lotus"/>
          <w:rtl/>
        </w:rPr>
        <w:fldChar w:fldCharType="begin" w:fldLock="1"/>
      </w:r>
      <w:r>
        <w:rPr>
          <w:rFonts w:cs="B Lotus"/>
        </w:rPr>
        <w:instrText>ADDIN CSL_CITATION { "citationItems" : [ { "id" : "ITEM-1", "itemData" : { "DOI" : "10.1016/j.energy.2013.07.044", "ISBN" : "0360-5442", "ISSN" : "03605442", "abstract" : "Effectively implementing various energy and environmental policies contributes to the acceleration of energy performance, a reduction in negative environmental impacts, and increased deployment of renewable resources. The MEEMS (municipal energy and environmental management system) performs the almost inconceivable role of accomplishing prerequisite targets at the national level and, consequently, the European and World levels also. Therefore, a proper infrastructure for MEEMS needs to be effectively applied in order to implement policy initiatives. A novel organisational framework of MEEMS is proposed and is constituted upon three pillars: integration of the municipal metabolism approach, the KBS (knowledge-based system), and the MTIS (municipal technology innovation system). By properly addressing the dynamics of the MEES (municipal energy and environmental system), and the new conceptual organisation of MEEMS, a need for the inclusion of innovative elements can be defined regarding support mechanisms. Integration of the end-user approach defines the fundamental orientation of modern MEEMS. This new concept paves a pathway towards an intelligent energy and environmental system. This paper describes an implementation of the new conceptual design of MEEMS within the urban municipality energy system of Ptuj, Slovenia. \u00a9 2013 Elsevier Ltd.", "author" : [ { "dropping-particle" : "", "family" : "Kostev\u0161ek", "given" : "Anja", "non-dropping-particle" : "", "parse-names" : false, "suffix" : "" }, { "dropping-particle" : "", "family" : "Petek", "given" : "Janez", "non-dropping-particle" : "", "parse-names" : false, "suffix" : "" }, { "dropping-particle" : "", "family" : "\u010cu\u010dek", "given" : "Lidija", "non-dropping-particle" : "", "parse-names" : false, "suffix" : "" }, { "dropping-particle" : "", "family" : "Pivec", "given" : "Aleksandra", "non-dropping-particle" : "", "parse-names" : false, "suffix" : "" } ], "container-title" : "Energy", "id" : "ITEM-1", "issued" : { "date-parts" : [ [ "2013" ] ] }, "page" : "148-158", "title" : "Conceptual design of a municipal energy and environmental system asan efficient basis for advanced energy planning", "type" : "article-journal", "volume" : "60" }, "uris" : [ "http://www.mendeley.com/documents/?uuid=b636dad5-9bff-4faa-b30a-848afaeae584" ] } ], "mendeley" : { "formattedCitation" : "(Kostev\u0161ek, Petek, \u010cu\u010dek, &amp; Pivec, 2013)", "plainTextFormattedCitation" : "(Kostev\u0161ek, Petek, \u010cu\u010dek, &amp; Pivec, 2013)", "previouslyFormattedCitation" : "(Kostev\u0161ek, Petek, \u010cu\u010dek, &amp; Pivec, 2013)" }, "properties" : {  }, "schema" : "https://github.com/citation-style-language/schema/raw/master/csl-citation.json" }</w:instrText>
      </w:r>
      <w:r w:rsidRPr="00262069">
        <w:rPr>
          <w:rFonts w:cs="B Lotus"/>
          <w:rtl/>
        </w:rPr>
        <w:fldChar w:fldCharType="separate"/>
      </w:r>
      <w:r w:rsidRPr="00BB5C08">
        <w:rPr>
          <w:rFonts w:cs="B Lotus"/>
          <w:noProof/>
        </w:rPr>
        <w:t>(Kostevšek, Petek, Čuček, &amp; Pivec, 2013)</w:t>
      </w:r>
      <w:r w:rsidRPr="00262069">
        <w:rPr>
          <w:rFonts w:cs="B Lotus"/>
          <w:rtl/>
        </w:rPr>
        <w:fldChar w:fldCharType="end"/>
      </w:r>
      <w:r w:rsidRPr="00262069">
        <w:rPr>
          <w:rFonts w:cs="B Lotus"/>
          <w:rtl/>
        </w:rPr>
        <w:t>.</w:t>
      </w:r>
      <w:r>
        <w:rPr>
          <w:rFonts w:cs="B Lotus" w:hint="cs"/>
          <w:rtl/>
        </w:rPr>
        <w:t xml:space="preserve"> </w:t>
      </w:r>
      <w:r>
        <w:rPr>
          <w:rFonts w:cs="B Lotus" w:hint="cs"/>
          <w:rtl/>
          <w:lang w:bidi="fa-IR"/>
        </w:rPr>
        <w:t xml:space="preserve">هوانگ و همکارانش </w:t>
      </w:r>
      <w:r w:rsidRPr="00262069">
        <w:rPr>
          <w:rFonts w:cs="B Lotus"/>
          <w:rtl/>
        </w:rPr>
        <w:t xml:space="preserve">بر روی روش </w:t>
      </w:r>
      <w:r>
        <w:rPr>
          <w:rFonts w:cs="B Lotus" w:hint="cs"/>
          <w:rtl/>
        </w:rPr>
        <w:t>طرح</w:t>
      </w:r>
      <w:r>
        <w:rPr>
          <w:rFonts w:cs="B Lotus"/>
          <w:rtl/>
        </w:rPr>
        <w:softHyphen/>
      </w:r>
      <w:r w:rsidRPr="00262069">
        <w:rPr>
          <w:rFonts w:cs="B Lotus"/>
          <w:rtl/>
        </w:rPr>
        <w:t>ریزی انرژی جامعه (</w:t>
      </w:r>
      <w:r w:rsidRPr="00262069">
        <w:rPr>
          <w:rFonts w:cs="B Lotus"/>
        </w:rPr>
        <w:t>CEP</w:t>
      </w:r>
      <w:r w:rsidRPr="00262069">
        <w:rPr>
          <w:rFonts w:cs="B Lotus"/>
          <w:rtl/>
        </w:rPr>
        <w:t>) در برنامه جامع جامعه (</w:t>
      </w:r>
      <w:r w:rsidRPr="00262069">
        <w:rPr>
          <w:rFonts w:cs="B Lotus"/>
        </w:rPr>
        <w:t>CMP</w:t>
      </w:r>
      <w:r w:rsidRPr="00262069">
        <w:rPr>
          <w:rFonts w:cs="B Lotus"/>
          <w:rtl/>
        </w:rPr>
        <w:t>)، برنامه نظارت بر جامعه (</w:t>
      </w:r>
      <w:r w:rsidRPr="00262069">
        <w:rPr>
          <w:rFonts w:cs="B Lotus"/>
        </w:rPr>
        <w:t>CRP</w:t>
      </w:r>
      <w:r w:rsidRPr="00262069">
        <w:rPr>
          <w:rFonts w:cs="B Lotus"/>
          <w:rtl/>
        </w:rPr>
        <w:t xml:space="preserve">)، </w:t>
      </w:r>
      <w:commentRangeStart w:id="0"/>
      <w:r w:rsidRPr="00262069">
        <w:rPr>
          <w:rFonts w:cs="B Lotus"/>
          <w:rtl/>
        </w:rPr>
        <w:t>طرح</w:t>
      </w:r>
      <w:commentRangeEnd w:id="0"/>
      <w:r>
        <w:rPr>
          <w:rStyle w:val="CommentReference"/>
          <w:rtl/>
        </w:rPr>
        <w:commentReference w:id="0"/>
      </w:r>
      <w:r w:rsidRPr="00262069">
        <w:rPr>
          <w:rFonts w:cs="B Lotus"/>
          <w:rtl/>
        </w:rPr>
        <w:t xml:space="preserve"> سایت (</w:t>
      </w:r>
      <w:r w:rsidRPr="00262069">
        <w:rPr>
          <w:rFonts w:cs="B Lotus"/>
        </w:rPr>
        <w:t>CSP</w:t>
      </w:r>
      <w:r w:rsidRPr="00262069">
        <w:rPr>
          <w:rFonts w:cs="B Lotus"/>
          <w:rtl/>
        </w:rPr>
        <w:t>) و طراحی معماری (</w:t>
      </w:r>
      <w:r w:rsidRPr="00262069">
        <w:rPr>
          <w:rFonts w:cs="B Lotus"/>
        </w:rPr>
        <w:t>AD</w:t>
      </w:r>
      <w:r>
        <w:rPr>
          <w:rFonts w:cs="B Lotus"/>
          <w:rtl/>
        </w:rPr>
        <w:t>) متمرکز شده</w:t>
      </w:r>
      <w:r>
        <w:rPr>
          <w:rFonts w:cs="B Lotus"/>
          <w:rtl/>
        </w:rPr>
        <w:softHyphen/>
      </w:r>
      <w:r>
        <w:rPr>
          <w:rFonts w:cs="B Lotus" w:hint="cs"/>
          <w:rtl/>
        </w:rPr>
        <w:t>اند</w:t>
      </w:r>
      <w:r w:rsidRPr="00262069">
        <w:rPr>
          <w:rFonts w:cs="B Lotus"/>
          <w:rtl/>
        </w:rPr>
        <w:t xml:space="preserve">. </w:t>
      </w:r>
      <w:r w:rsidRPr="00262069">
        <w:rPr>
          <w:rFonts w:cs="B Lotus" w:hint="cs"/>
          <w:rtl/>
        </w:rPr>
        <w:t>این توابع  و ویژگی های این ابزارهای کامپیوتری برای طراحی سیستم های انرژی جامعه (</w:t>
      </w:r>
      <w:r w:rsidRPr="00262069">
        <w:rPr>
          <w:rFonts w:cs="B Lotus"/>
        </w:rPr>
        <w:t>CESD</w:t>
      </w:r>
      <w:r w:rsidRPr="00262069">
        <w:rPr>
          <w:rFonts w:cs="B Lotus"/>
          <w:rtl/>
        </w:rPr>
        <w:t xml:space="preserve">)  فهرست شده و مقایسه شده است. همچنان کمبود ابزارهای موجود برای تعیین شاخص های مرتبط با انرژی در مرحله </w:t>
      </w:r>
      <w:r w:rsidRPr="00262069">
        <w:rPr>
          <w:rFonts w:cs="B Lotus"/>
        </w:rPr>
        <w:t>CRP</w:t>
      </w:r>
      <w:r w:rsidRPr="00262069">
        <w:rPr>
          <w:rFonts w:cs="B Lotus"/>
          <w:rtl/>
        </w:rPr>
        <w:t xml:space="preserve"> </w:t>
      </w:r>
      <w:r w:rsidRPr="00262069">
        <w:rPr>
          <w:rFonts w:cs="B Lotus" w:hint="cs"/>
          <w:rtl/>
        </w:rPr>
        <w:t>وجود دارد. سیستم نظارت و ارزیابی مصرف انرژی مصرفی جامعه (</w:t>
      </w:r>
      <w:r w:rsidRPr="00262069">
        <w:rPr>
          <w:rFonts w:cs="B Lotus"/>
        </w:rPr>
        <w:t>CECMSS</w:t>
      </w:r>
      <w:r w:rsidRPr="00262069">
        <w:rPr>
          <w:rFonts w:cs="B Lotus"/>
          <w:rtl/>
        </w:rPr>
        <w:t xml:space="preserve">) ممکن است به پیش بینی تقاضای انرژی ثانویه جامعه کمک کند. </w:t>
      </w:r>
      <w:r w:rsidRPr="00262069">
        <w:rPr>
          <w:rFonts w:cs="B Lotus"/>
          <w:rtl/>
        </w:rPr>
        <w:fldChar w:fldCharType="begin" w:fldLock="1"/>
      </w:r>
      <w:r>
        <w:rPr>
          <w:rFonts w:cs="B Lotus"/>
        </w:rPr>
        <w:instrText>ADDIN CSL_CITATION { "citationItems" : [ { "id" : "ITEM-1", "itemData" : { "DOI" : "10.1016/j.rser.2014.11.042", "ISBN" : "1364-0321", "ISSN" : "13640321", "abstract" : "High consumption of fossil fuels in urban area leads to environmental pollution and energy shortages, which threaten to reverse human progress. Community energy system planning makes great contributions to reducing fossil energy consumption. This paper focused on the Community Energy Planning (CEP) method at the Community Master Plan (CMP), Community Regulatory Plan (CRP), Community Site Plan (CSP) and Architectural Design (AD) stages. Top-down and bottom-up models for CEP at different stages of community construction were introduced. The present situation and development of research on energy demand forecasting, renewable energy resource assessments and whole community energy system optimization, which are three highly important components of bottom-up models, were introduced. After surveying the methods and tools that have contributed to CEP, the framework of computer tools for community energy system simulation and design was outlined. The functions (particularly focused on the existence of the functions of energy demand prediction, renewable energy resource assessment and whole community energy system optimization) and characteristics of these computer tools for community energy system design (CESD) were listed and compared. One of the current challenges is predicting community energy demand. There is still a shortage of available tools for determining energy-related indictors at the CRP stage. A built Community Energy Consumption data Monitoring and Statistic System (CECMSS) may help to predict a community's secondary energy demand. Ultimately, a framework for a new community energy analysis model that determines energy-related indicators was introduced.", "author" : [ { "dropping-particle" : "", "family" : "Huang", "given" : "Zishuo", "non-dropping-particle" : "", "parse-names" : false, "suffix" : "" }, { "dropping-particle" : "", "family" : "Yu", "given" : "Hang", "non-dropping-particle" : "", "parse-names" : false, "suffix" : "" }, { "dropping-particle" : "", "family" : "Peng", "given" : "Zhenwei", "non-dropping-particle" : "", "parse-names" : false, "suffix" : "" }, { "dropping-particle" : "", "family" : "Zhao", "given" : "Mei", "non-dropping-particle" : "", "parse-names" : false, "suffix" : "" } ], "container-title" : "Renewable and Sustainable Energy Reviews", "id" : "ITEM-1", "issue" : "4800", "issued" : { "date-parts" : [ [ "2015" ] ] }, "page" : "1335-1348", "publisher" : "Elsevier", "title" : "Methods and tools for community energy planning: A review", "type" : "article-journal", "volume" : "42" }, "uris" : [ "http://www.mendeley.com/documents/?uuid=89eaaa46-d28a-4d7b-9270-1a11e428e34f" ] } ], "mendeley" : { "formattedCitation" : "(Z. Huang, Yu, Peng, &amp; Zhao, 2015)", "plainTextFormattedCitation" : "(Z. Huang, Yu, Peng, &amp; Zhao, 2015)", "previouslyFormattedCitation" : "(Z. Huang, Yu, Peng, &amp; Zhao, 2015)" }, "properties" : {  }, "schema" : "https://github.com/citation-style-language/schema/raw/master/csl-citation.json" }</w:instrText>
      </w:r>
      <w:r w:rsidRPr="00262069">
        <w:rPr>
          <w:rFonts w:cs="B Lotus"/>
          <w:rtl/>
        </w:rPr>
        <w:fldChar w:fldCharType="separate"/>
      </w:r>
      <w:r w:rsidRPr="00BB5C08">
        <w:rPr>
          <w:rFonts w:cs="B Lotus"/>
          <w:noProof/>
        </w:rPr>
        <w:t>(Z. Huang, Yu, Peng, &amp; Zhao, 2015)</w:t>
      </w:r>
      <w:r w:rsidRPr="00262069">
        <w:rPr>
          <w:rFonts w:cs="B Lotus"/>
          <w:rtl/>
        </w:rPr>
        <w:fldChar w:fldCharType="end"/>
      </w:r>
      <w:r w:rsidRPr="00262069">
        <w:rPr>
          <w:rFonts w:cs="B Lotus"/>
          <w:rtl/>
        </w:rPr>
        <w:t>.</w:t>
      </w:r>
    </w:p>
    <w:p w14:paraId="19ED9B0E" w14:textId="77777777" w:rsidR="00227917" w:rsidRDefault="00227917" w:rsidP="002F0D7F">
      <w:pPr>
        <w:bidi/>
        <w:rPr>
          <w:rFonts w:cs="Arial"/>
          <w:lang w:bidi="fa-IR"/>
        </w:rPr>
      </w:pPr>
      <w:r>
        <w:rPr>
          <w:rFonts w:cs="Arial"/>
          <w:lang w:bidi="fa-IR"/>
        </w:rPr>
        <w:t>Energy planning</w:t>
      </w:r>
    </w:p>
    <w:p w14:paraId="4B6218CA" w14:textId="77777777" w:rsidR="003D0138" w:rsidRPr="00262069" w:rsidRDefault="003D0138" w:rsidP="002F0D7F">
      <w:pPr>
        <w:bidi/>
        <w:jc w:val="both"/>
        <w:rPr>
          <w:rFonts w:cs="B Lotus"/>
        </w:rPr>
      </w:pPr>
      <w:r>
        <w:rPr>
          <w:rFonts w:cs="B Lotus" w:hint="cs"/>
          <w:rtl/>
        </w:rPr>
        <w:t xml:space="preserve">سوا </w:t>
      </w:r>
      <w:r>
        <w:rPr>
          <w:rFonts w:cs="B Lotus"/>
          <w:rtl/>
        </w:rPr>
        <w:t xml:space="preserve">بیان </w:t>
      </w:r>
      <w:r>
        <w:rPr>
          <w:rFonts w:cs="B Lotus" w:hint="cs"/>
          <w:rtl/>
        </w:rPr>
        <w:t>کرده</w:t>
      </w:r>
      <w:r>
        <w:rPr>
          <w:rFonts w:cs="B Lotus"/>
          <w:rtl/>
        </w:rPr>
        <w:softHyphen/>
      </w:r>
      <w:r>
        <w:rPr>
          <w:rFonts w:cs="B Lotus" w:hint="cs"/>
          <w:rtl/>
        </w:rPr>
        <w:t>است</w:t>
      </w:r>
      <w:r w:rsidRPr="00262069">
        <w:rPr>
          <w:rFonts w:cs="B Lotus"/>
          <w:rtl/>
        </w:rPr>
        <w:t xml:space="preserve"> که ژاپن به رسمیت شناخته است که نیاز به کاهش قابل توجهی در انتشار گازهای گلخانه ای(</w:t>
      </w:r>
      <w:r w:rsidRPr="00262069">
        <w:rPr>
          <w:rFonts w:cs="B Lotus"/>
        </w:rPr>
        <w:t>GHG</w:t>
      </w:r>
      <w:r w:rsidRPr="00262069">
        <w:rPr>
          <w:rFonts w:cs="B Lotus"/>
          <w:rtl/>
        </w:rPr>
        <w:t xml:space="preserve">) از جمله </w:t>
      </w:r>
      <w:r w:rsidRPr="00262069">
        <w:rPr>
          <w:rFonts w:cs="B Lotus"/>
        </w:rPr>
        <w:t>CO2</w:t>
      </w:r>
      <w:r w:rsidRPr="00262069">
        <w:rPr>
          <w:rFonts w:cs="B Lotus"/>
          <w:rtl/>
        </w:rPr>
        <w:t xml:space="preserve"> </w:t>
      </w:r>
      <w:r w:rsidRPr="00262069">
        <w:rPr>
          <w:rFonts w:cs="B Lotus" w:hint="cs"/>
          <w:rtl/>
        </w:rPr>
        <w:t xml:space="preserve">دارد، اما سیاست بخش انرژی ژاپن در مقابله با چالش بی اثر است. گزینه های بسیار بحث انگیز در استراتژی آن گنجانده شده است. در مقابل این زمینه، سیاست انرژی فعلی ژاپن مورد بررسی قرار </w:t>
      </w:r>
      <w:r>
        <w:rPr>
          <w:rFonts w:cs="B Lotus" w:hint="cs"/>
          <w:rtl/>
        </w:rPr>
        <w:t>گرفته شده است</w:t>
      </w:r>
      <w:r w:rsidRPr="00262069">
        <w:rPr>
          <w:rFonts w:cs="B Lotus" w:hint="cs"/>
          <w:rtl/>
        </w:rPr>
        <w:t xml:space="preserve"> و گزینه های آینده جایگزین پیشنهاد </w:t>
      </w:r>
      <w:r>
        <w:rPr>
          <w:rFonts w:cs="B Lotus" w:hint="cs"/>
          <w:rtl/>
        </w:rPr>
        <w:t>شده</w:t>
      </w:r>
      <w:r>
        <w:rPr>
          <w:rFonts w:cs="B Lotus"/>
          <w:rtl/>
        </w:rPr>
        <w:softHyphen/>
      </w:r>
      <w:r>
        <w:rPr>
          <w:rFonts w:cs="B Lotus" w:hint="cs"/>
          <w:rtl/>
        </w:rPr>
        <w:t>است</w:t>
      </w:r>
      <w:r w:rsidRPr="00262069">
        <w:rPr>
          <w:rFonts w:cs="B Lotus" w:hint="cs"/>
          <w:rtl/>
        </w:rPr>
        <w:t xml:space="preserve"> و پیامدهای آن در زمینه سیاست واقعی بررسی </w:t>
      </w:r>
      <w:r>
        <w:rPr>
          <w:rFonts w:cs="B Lotus" w:hint="cs"/>
          <w:rtl/>
        </w:rPr>
        <w:t>شده</w:t>
      </w:r>
      <w:r>
        <w:rPr>
          <w:rFonts w:cs="B Lotus"/>
          <w:rtl/>
        </w:rPr>
        <w:softHyphen/>
      </w:r>
      <w:r>
        <w:rPr>
          <w:rFonts w:cs="B Lotus" w:hint="cs"/>
          <w:rtl/>
        </w:rPr>
        <w:t>است</w:t>
      </w:r>
      <w:r w:rsidRPr="00262069">
        <w:rPr>
          <w:rFonts w:cs="B Lotus" w:hint="cs"/>
          <w:rtl/>
        </w:rPr>
        <w:t xml:space="preserve">. یک روش پیشنهادی، که دیدگاه هنجاری را ایجاد </w:t>
      </w:r>
      <w:r>
        <w:rPr>
          <w:rFonts w:cs="B Lotus" w:hint="cs"/>
          <w:rtl/>
        </w:rPr>
        <w:t>کرده</w:t>
      </w:r>
      <w:r>
        <w:rPr>
          <w:rFonts w:cs="B Lotus"/>
          <w:rtl/>
        </w:rPr>
        <w:softHyphen/>
      </w:r>
      <w:r>
        <w:rPr>
          <w:rFonts w:cs="B Lotus" w:hint="cs"/>
          <w:rtl/>
        </w:rPr>
        <w:t xml:space="preserve">است </w:t>
      </w:r>
      <w:r w:rsidRPr="00262069">
        <w:rPr>
          <w:rFonts w:cs="B Lotus" w:hint="cs"/>
          <w:rtl/>
        </w:rPr>
        <w:t xml:space="preserve">و راه های سیاسی را برای دستیابی به دیدگاه </w:t>
      </w:r>
      <w:r>
        <w:rPr>
          <w:rFonts w:cs="B Lotus" w:hint="cs"/>
          <w:rtl/>
        </w:rPr>
        <w:t>کرده</w:t>
      </w:r>
      <w:r>
        <w:rPr>
          <w:rFonts w:cs="B Lotus"/>
          <w:rtl/>
        </w:rPr>
        <w:softHyphen/>
      </w:r>
      <w:r>
        <w:rPr>
          <w:rFonts w:cs="B Lotus" w:hint="cs"/>
          <w:rtl/>
        </w:rPr>
        <w:t>است</w:t>
      </w:r>
      <w:r w:rsidRPr="00262069">
        <w:rPr>
          <w:rFonts w:cs="B Lotus" w:hint="cs"/>
          <w:rtl/>
        </w:rPr>
        <w:t xml:space="preserve">، به عنوان یک چارچوب مفهومی بسیار مرتبط برای تجزیه و تحلیل شناخته شده است. چهار چشم انداز ارائه شده است، که در آن بسته های سیاست های بعدی و مسیرهای سیاست های دقیق ایجاد </w:t>
      </w:r>
      <w:r>
        <w:rPr>
          <w:rFonts w:cs="B Lotus" w:hint="cs"/>
          <w:rtl/>
        </w:rPr>
        <w:t>شده</w:t>
      </w:r>
      <w:r>
        <w:rPr>
          <w:rFonts w:cs="B Lotus"/>
          <w:rtl/>
        </w:rPr>
        <w:softHyphen/>
      </w:r>
      <w:r>
        <w:rPr>
          <w:rFonts w:cs="B Lotus" w:hint="cs"/>
          <w:rtl/>
        </w:rPr>
        <w:t>اتد</w:t>
      </w:r>
      <w:r w:rsidRPr="00262069">
        <w:rPr>
          <w:rFonts w:cs="B Lotus" w:hint="cs"/>
          <w:rtl/>
        </w:rPr>
        <w:t xml:space="preserve">. مراحل ارزیابی دو مرحله ای برای اعتبارسنجی بسته های سیاست و مسیرها، از طریق گفتگو با متخصصان انرژی ژاپن، تنظیم شده است. این مطالعه بینش اثربخشی روش شناسی و پیامدهای پیش بینی های پیشنهادی و بسته های سیاست را ارائه </w:t>
      </w:r>
      <w:r>
        <w:rPr>
          <w:rFonts w:cs="B Lotus" w:hint="cs"/>
          <w:rtl/>
        </w:rPr>
        <w:t>داده</w:t>
      </w:r>
      <w:r>
        <w:rPr>
          <w:rFonts w:cs="B Lotus"/>
          <w:rtl/>
        </w:rPr>
        <w:softHyphen/>
      </w:r>
      <w:r>
        <w:rPr>
          <w:rFonts w:cs="B Lotus" w:hint="cs"/>
          <w:rtl/>
        </w:rPr>
        <w:t>است</w:t>
      </w:r>
      <w:r w:rsidRPr="00262069">
        <w:rPr>
          <w:rFonts w:cs="B Lotus" w:hint="cs"/>
          <w:rtl/>
        </w:rPr>
        <w:t>. مجموعه ای از نوآوری ها، از جمله «نقشه راه سیاسی» به عنوان یک ابزار موثر که چارچوب عقبگردی و بحث های سیاستی استراتژیک را پیوند می دهد، ساخته شده است</w:t>
      </w:r>
      <w:r w:rsidRPr="00262069">
        <w:rPr>
          <w:rFonts w:cs="B Lotus"/>
          <w:rtl/>
        </w:rPr>
        <w:fldChar w:fldCharType="begin" w:fldLock="1"/>
      </w:r>
      <w:r>
        <w:rPr>
          <w:rFonts w:cs="B Lotus"/>
        </w:rPr>
        <w:instrText>ADDIN CSL_CITATION { "citationItems" : [ { "id" : "ITEM-1", "itemData" : { "DOI" : "10.3763/cpol.2007.0322", "ISBN" : "1469-3062", "ISSN" : "1469-3062", "abstract" : "Japan has recognized the need to make significant reductions in greenhouse gas (GHG) emissions, including CO\\n 2, but Japanese energy policy is fragmented and ineffective in coping with the challenge. Highly controversial options have been included in its strategy. Against this background, the current Japanese energy policy is reviewed and alternative future options are proposed, with their implications examined in the real policy context. A backcasting methodology, which creates a normative vision and identifies policy paths to attain the vision, is identified as a highly relevant conceptual framework for the analysis. Four visions are presented, within which subsequent policy packages and detailed policy paths are created. Two-tier evaluation stages are set to validate the policy packages and paths, through discussion with key Japanese energy experts. The study provides an insight into the effectiveness of the methodology, and implications of the proposed visions and policy packages. A series of innovations are made, including the 'policy road map' as an effective tool that links the backcasting framework and strategic policy discussions. \u00a9 2009 Earthscan.", "author" : [ { "dropping-particle" : "", "family" : "SUWA", "given" : "AKI", "non-dropping-particle" : "", "parse-names" : false, "suffix" : "" } ], "container-title" : "Climate Policy", "id" : "ITEM-1", "issue" : "2", "issued" : { "date-parts" : [ [ "2009" ] ] }, "page" : "185-206", "title" : "Soft energy paths in Japan: a backcasting approach to energy planning", "type" : "article-journal", "volume" : "9" }, "uris" : [ "http://www.mendeley.com/documents/?uuid=14d3e8bf-01e2-4177-8f04-f27bbf7d74fe" ] } ], "mendeley" : { "formattedCitation" : "(SUWA, 2009)", "plainTextFormattedCitation" : "(SUWA, 2009)", "previouslyFormattedCitation" : "(SUWA, 2009)" }, "properties" : {  }, "schema" : "https://github.com/citation-style-language/schema/raw/master/csl-citation.json" }</w:instrText>
      </w:r>
      <w:r w:rsidRPr="00262069">
        <w:rPr>
          <w:rFonts w:cs="B Lotus"/>
          <w:rtl/>
        </w:rPr>
        <w:fldChar w:fldCharType="separate"/>
      </w:r>
      <w:r w:rsidRPr="00BB5C08">
        <w:rPr>
          <w:rFonts w:cs="B Lotus"/>
          <w:noProof/>
        </w:rPr>
        <w:t>(SUWA, 2009)</w:t>
      </w:r>
      <w:r w:rsidRPr="00262069">
        <w:rPr>
          <w:rFonts w:cs="B Lotus"/>
          <w:rtl/>
        </w:rPr>
        <w:fldChar w:fldCharType="end"/>
      </w:r>
      <w:r w:rsidRPr="00262069">
        <w:rPr>
          <w:rFonts w:cs="B Lotus" w:hint="cs"/>
          <w:rtl/>
        </w:rPr>
        <w:t>.</w:t>
      </w:r>
    </w:p>
    <w:p w14:paraId="0D5DD9C6" w14:textId="77777777" w:rsidR="00227917" w:rsidRDefault="00227917" w:rsidP="002F0D7F">
      <w:pPr>
        <w:bidi/>
      </w:pPr>
    </w:p>
    <w:p w14:paraId="647832FB" w14:textId="77777777" w:rsidR="00227917" w:rsidRDefault="00227917" w:rsidP="002F0D7F">
      <w:pPr>
        <w:bidi/>
        <w:rPr>
          <w:rFonts w:cs="Arial"/>
          <w:lang w:bidi="fa-IR"/>
        </w:rPr>
      </w:pPr>
      <w:r>
        <w:rPr>
          <w:rFonts w:cs="Arial" w:hint="cs"/>
          <w:rtl/>
          <w:lang w:bidi="fa-IR"/>
        </w:rPr>
        <w:t>این</w:t>
      </w:r>
      <w:r>
        <w:rPr>
          <w:rFonts w:cs="Arial"/>
          <w:rtl/>
          <w:lang w:bidi="fa-IR"/>
        </w:rPr>
        <w:t xml:space="preserve"> </w:t>
      </w:r>
      <w:r>
        <w:rPr>
          <w:rFonts w:cs="Arial" w:hint="cs"/>
          <w:rtl/>
          <w:lang w:bidi="fa-IR"/>
        </w:rPr>
        <w:t>مقاله</w:t>
      </w:r>
      <w:r>
        <w:rPr>
          <w:rFonts w:cs="Arial"/>
          <w:rtl/>
          <w:lang w:bidi="fa-IR"/>
        </w:rPr>
        <w:t xml:space="preserve"> </w:t>
      </w:r>
      <w:r>
        <w:rPr>
          <w:rFonts w:cs="Arial" w:hint="cs"/>
          <w:rtl/>
          <w:lang w:bidi="fa-IR"/>
        </w:rPr>
        <w:t>بر</w:t>
      </w:r>
      <w:r>
        <w:rPr>
          <w:rFonts w:cs="Arial"/>
          <w:rtl/>
          <w:lang w:bidi="fa-IR"/>
        </w:rPr>
        <w:t xml:space="preserve"> </w:t>
      </w:r>
      <w:r>
        <w:rPr>
          <w:rFonts w:cs="Arial" w:hint="cs"/>
          <w:rtl/>
          <w:lang w:bidi="fa-IR"/>
        </w:rPr>
        <w:t>طراحی،</w:t>
      </w:r>
      <w:r>
        <w:rPr>
          <w:rFonts w:cs="Arial"/>
          <w:rtl/>
          <w:lang w:bidi="fa-IR"/>
        </w:rPr>
        <w:t xml:space="preserve"> </w:t>
      </w:r>
      <w:r>
        <w:rPr>
          <w:rFonts w:cs="Arial" w:hint="cs"/>
          <w:rtl/>
          <w:lang w:bidi="fa-IR"/>
        </w:rPr>
        <w:t>برنامه</w:t>
      </w:r>
      <w:r>
        <w:rPr>
          <w:rFonts w:cs="Arial"/>
          <w:rtl/>
          <w:lang w:bidi="fa-IR"/>
        </w:rPr>
        <w:t xml:space="preserve"> </w:t>
      </w:r>
      <w:r>
        <w:rPr>
          <w:rFonts w:cs="Arial" w:hint="cs"/>
          <w:rtl/>
          <w:lang w:bidi="fa-IR"/>
        </w:rPr>
        <w:t>ریزی،</w:t>
      </w:r>
      <w:r>
        <w:rPr>
          <w:rFonts w:cs="Arial"/>
          <w:rtl/>
          <w:lang w:bidi="fa-IR"/>
        </w:rPr>
        <w:t xml:space="preserve"> </w:t>
      </w:r>
      <w:r>
        <w:rPr>
          <w:rFonts w:cs="Arial" w:hint="cs"/>
          <w:rtl/>
          <w:lang w:bidi="fa-IR"/>
        </w:rPr>
        <w:t>اندازه</w:t>
      </w:r>
      <w:r>
        <w:rPr>
          <w:rFonts w:cs="Arial"/>
          <w:rtl/>
          <w:lang w:bidi="fa-IR"/>
        </w:rPr>
        <w:t xml:space="preserve"> </w:t>
      </w:r>
      <w:r>
        <w:rPr>
          <w:rFonts w:cs="Arial" w:hint="cs"/>
          <w:rtl/>
          <w:lang w:bidi="fa-IR"/>
        </w:rPr>
        <w:t>گیری</w:t>
      </w:r>
      <w:r>
        <w:rPr>
          <w:rFonts w:cs="Arial"/>
          <w:rtl/>
          <w:lang w:bidi="fa-IR"/>
        </w:rPr>
        <w:t xml:space="preserve"> </w:t>
      </w:r>
      <w:r>
        <w:rPr>
          <w:rFonts w:cs="Arial" w:hint="cs"/>
          <w:rtl/>
          <w:lang w:bidi="fa-IR"/>
        </w:rPr>
        <w:t>و</w:t>
      </w:r>
      <w:r>
        <w:rPr>
          <w:rFonts w:cs="Arial"/>
          <w:rtl/>
          <w:lang w:bidi="fa-IR"/>
        </w:rPr>
        <w:t xml:space="preserve"> </w:t>
      </w:r>
      <w:r>
        <w:rPr>
          <w:rFonts w:cs="Arial" w:hint="cs"/>
          <w:rtl/>
          <w:lang w:bidi="fa-IR"/>
        </w:rPr>
        <w:t>عملکرد</w:t>
      </w:r>
      <w:r>
        <w:rPr>
          <w:rFonts w:cs="Arial"/>
          <w:rtl/>
          <w:lang w:bidi="fa-IR"/>
        </w:rPr>
        <w:t xml:space="preserve"> </w:t>
      </w:r>
      <w:r>
        <w:rPr>
          <w:rFonts w:cs="Arial" w:hint="cs"/>
          <w:rtl/>
          <w:lang w:bidi="fa-IR"/>
        </w:rPr>
        <w:t>یک</w:t>
      </w:r>
      <w:r>
        <w:rPr>
          <w:rFonts w:cs="Arial"/>
          <w:rtl/>
          <w:lang w:bidi="fa-IR"/>
        </w:rPr>
        <w:t xml:space="preserve"> </w:t>
      </w:r>
      <w:r>
        <w:rPr>
          <w:rFonts w:cs="Arial" w:hint="cs"/>
          <w:rtl/>
          <w:lang w:bidi="fa-IR"/>
        </w:rPr>
        <w:t>ترکیب</w:t>
      </w:r>
      <w:r>
        <w:rPr>
          <w:rFonts w:cs="Arial"/>
          <w:rtl/>
          <w:lang w:bidi="fa-IR"/>
        </w:rPr>
        <w:t xml:space="preserve"> </w:t>
      </w:r>
      <w:r>
        <w:rPr>
          <w:rFonts w:cs="Arial" w:hint="cs"/>
          <w:rtl/>
          <w:lang w:bidi="fa-IR"/>
        </w:rPr>
        <w:t>هیبریدی،</w:t>
      </w:r>
      <w:r w:rsidR="003D0138">
        <w:rPr>
          <w:rFonts w:cs="Arial"/>
          <w:lang w:bidi="fa-IR"/>
        </w:rPr>
        <w:t xml:space="preserve"> </w:t>
      </w:r>
      <w:r>
        <w:rPr>
          <w:rFonts w:cs="Arial" w:hint="cs"/>
          <w:rtl/>
          <w:lang w:bidi="fa-IR"/>
        </w:rPr>
        <w:t>میکروگرید</w:t>
      </w:r>
      <w:r>
        <w:rPr>
          <w:rFonts w:cs="Arial"/>
          <w:rtl/>
          <w:lang w:bidi="fa-IR"/>
        </w:rPr>
        <w:t xml:space="preserve"> </w:t>
      </w:r>
      <w:r>
        <w:rPr>
          <w:rFonts w:cs="Arial" w:hint="cs"/>
          <w:rtl/>
          <w:lang w:bidi="fa-IR"/>
        </w:rPr>
        <w:t>مبتنی</w:t>
      </w:r>
      <w:r>
        <w:rPr>
          <w:rFonts w:cs="Arial"/>
          <w:rtl/>
          <w:lang w:bidi="fa-IR"/>
        </w:rPr>
        <w:t xml:space="preserve"> </w:t>
      </w:r>
      <w:r>
        <w:rPr>
          <w:rFonts w:cs="Arial" w:hint="cs"/>
          <w:rtl/>
          <w:lang w:bidi="fa-IR"/>
        </w:rPr>
        <w:t>بر</w:t>
      </w:r>
      <w:r>
        <w:rPr>
          <w:rFonts w:cs="Arial"/>
          <w:rtl/>
          <w:lang w:bidi="fa-IR"/>
        </w:rPr>
        <w:t xml:space="preserve"> </w:t>
      </w:r>
      <w:r>
        <w:rPr>
          <w:rFonts w:cs="Arial" w:hint="cs"/>
          <w:rtl/>
          <w:lang w:bidi="fa-IR"/>
        </w:rPr>
        <w:t>انرژی</w:t>
      </w:r>
      <w:r>
        <w:rPr>
          <w:rFonts w:cs="Arial"/>
          <w:rtl/>
          <w:lang w:bidi="fa-IR"/>
        </w:rPr>
        <w:t xml:space="preserve"> </w:t>
      </w:r>
      <w:r>
        <w:rPr>
          <w:rFonts w:cs="Arial" w:hint="cs"/>
          <w:rtl/>
          <w:lang w:bidi="fa-IR"/>
        </w:rPr>
        <w:t>تجدید</w:t>
      </w:r>
      <w:r>
        <w:rPr>
          <w:rFonts w:cs="Arial"/>
          <w:rtl/>
          <w:lang w:bidi="fa-IR"/>
        </w:rPr>
        <w:t xml:space="preserve"> </w:t>
      </w:r>
      <w:r>
        <w:rPr>
          <w:rFonts w:cs="Arial" w:hint="cs"/>
          <w:rtl/>
          <w:lang w:bidi="fa-IR"/>
        </w:rPr>
        <w:t>پذیر</w:t>
      </w:r>
      <w:r>
        <w:rPr>
          <w:rFonts w:cs="Arial"/>
          <w:rtl/>
          <w:lang w:bidi="fa-IR"/>
        </w:rPr>
        <w:t xml:space="preserve"> </w:t>
      </w:r>
      <w:r>
        <w:rPr>
          <w:rFonts w:cs="Arial" w:hint="cs"/>
          <w:rtl/>
          <w:lang w:bidi="fa-IR"/>
        </w:rPr>
        <w:t>با</w:t>
      </w:r>
      <w:r>
        <w:rPr>
          <w:rFonts w:cs="Arial"/>
          <w:rtl/>
          <w:lang w:bidi="fa-IR"/>
        </w:rPr>
        <w:t xml:space="preserve"> </w:t>
      </w:r>
      <w:r>
        <w:rPr>
          <w:rFonts w:cs="Arial" w:hint="cs"/>
          <w:rtl/>
          <w:lang w:bidi="fa-IR"/>
        </w:rPr>
        <w:t>هدف</w:t>
      </w:r>
      <w:r>
        <w:rPr>
          <w:rFonts w:cs="Arial"/>
          <w:rtl/>
          <w:lang w:bidi="fa-IR"/>
        </w:rPr>
        <w:t xml:space="preserve"> </w:t>
      </w:r>
      <w:r>
        <w:rPr>
          <w:rFonts w:cs="Arial" w:hint="cs"/>
          <w:rtl/>
          <w:lang w:bidi="fa-IR"/>
        </w:rPr>
        <w:t>به</w:t>
      </w:r>
      <w:r>
        <w:rPr>
          <w:rFonts w:cs="Arial"/>
          <w:rtl/>
          <w:lang w:bidi="fa-IR"/>
        </w:rPr>
        <w:t xml:space="preserve"> </w:t>
      </w:r>
      <w:r>
        <w:rPr>
          <w:rFonts w:cs="Arial" w:hint="cs"/>
          <w:rtl/>
          <w:lang w:bidi="fa-IR"/>
        </w:rPr>
        <w:t>حداقل</w:t>
      </w:r>
      <w:r>
        <w:rPr>
          <w:rFonts w:cs="Arial"/>
          <w:rtl/>
          <w:lang w:bidi="fa-IR"/>
        </w:rPr>
        <w:t xml:space="preserve"> </w:t>
      </w:r>
      <w:r>
        <w:rPr>
          <w:rFonts w:cs="Arial" w:hint="cs"/>
          <w:rtl/>
          <w:lang w:bidi="fa-IR"/>
        </w:rPr>
        <w:t>رساندن</w:t>
      </w:r>
      <w:r>
        <w:rPr>
          <w:rFonts w:cs="Arial"/>
          <w:rtl/>
          <w:lang w:bidi="fa-IR"/>
        </w:rPr>
        <w:t xml:space="preserve"> </w:t>
      </w:r>
      <w:r>
        <w:rPr>
          <w:rFonts w:cs="Arial" w:hint="cs"/>
          <w:rtl/>
          <w:lang w:bidi="fa-IR"/>
        </w:rPr>
        <w:t>هزینه</w:t>
      </w:r>
      <w:r>
        <w:rPr>
          <w:rFonts w:cs="Arial"/>
          <w:rtl/>
          <w:lang w:bidi="fa-IR"/>
        </w:rPr>
        <w:t xml:space="preserve"> </w:t>
      </w:r>
      <w:r>
        <w:rPr>
          <w:rFonts w:cs="Arial" w:hint="cs"/>
          <w:rtl/>
          <w:lang w:bidi="fa-IR"/>
        </w:rPr>
        <w:t>های</w:t>
      </w:r>
      <w:r>
        <w:rPr>
          <w:rFonts w:cs="Arial"/>
          <w:rtl/>
          <w:lang w:bidi="fa-IR"/>
        </w:rPr>
        <w:t xml:space="preserve"> </w:t>
      </w:r>
      <w:r>
        <w:rPr>
          <w:rFonts w:cs="Arial" w:hint="cs"/>
          <w:rtl/>
          <w:lang w:bidi="fa-IR"/>
        </w:rPr>
        <w:t>چرخه</w:t>
      </w:r>
      <w:r>
        <w:rPr>
          <w:rFonts w:cs="Arial"/>
          <w:rtl/>
          <w:lang w:bidi="fa-IR"/>
        </w:rPr>
        <w:t xml:space="preserve"> </w:t>
      </w:r>
      <w:r>
        <w:rPr>
          <w:rFonts w:cs="Arial" w:hint="cs"/>
          <w:rtl/>
          <w:lang w:bidi="fa-IR"/>
        </w:rPr>
        <w:t>زندگی،</w:t>
      </w:r>
      <w:r>
        <w:rPr>
          <w:rFonts w:cs="Arial"/>
          <w:rtl/>
          <w:lang w:bidi="fa-IR"/>
        </w:rPr>
        <w:t xml:space="preserve"> </w:t>
      </w:r>
      <w:r>
        <w:rPr>
          <w:rFonts w:cs="Arial" w:hint="cs"/>
          <w:rtl/>
          <w:lang w:bidi="fa-IR"/>
        </w:rPr>
        <w:t>در</w:t>
      </w:r>
      <w:r>
        <w:rPr>
          <w:rFonts w:cs="Arial"/>
          <w:rtl/>
          <w:lang w:bidi="fa-IR"/>
        </w:rPr>
        <w:t xml:space="preserve"> </w:t>
      </w:r>
      <w:r>
        <w:rPr>
          <w:rFonts w:cs="Arial" w:hint="cs"/>
          <w:rtl/>
          <w:lang w:bidi="fa-IR"/>
        </w:rPr>
        <w:t>حالی</w:t>
      </w:r>
      <w:r>
        <w:rPr>
          <w:rFonts w:cs="Arial"/>
          <w:rtl/>
          <w:lang w:bidi="fa-IR"/>
        </w:rPr>
        <w:t xml:space="preserve"> </w:t>
      </w:r>
      <w:r>
        <w:rPr>
          <w:rFonts w:cs="Arial" w:hint="cs"/>
          <w:rtl/>
          <w:lang w:bidi="fa-IR"/>
        </w:rPr>
        <w:t>که</w:t>
      </w:r>
      <w:r>
        <w:rPr>
          <w:rFonts w:cs="Arial"/>
          <w:rtl/>
          <w:lang w:bidi="fa-IR"/>
        </w:rPr>
        <w:t xml:space="preserve"> </w:t>
      </w:r>
      <w:r>
        <w:rPr>
          <w:rFonts w:cs="Arial" w:hint="cs"/>
          <w:rtl/>
          <w:lang w:bidi="fa-IR"/>
        </w:rPr>
        <w:t>با</w:t>
      </w:r>
      <w:r>
        <w:rPr>
          <w:rFonts w:cs="Arial"/>
          <w:rtl/>
          <w:lang w:bidi="fa-IR"/>
        </w:rPr>
        <w:t xml:space="preserve"> </w:t>
      </w:r>
      <w:r>
        <w:rPr>
          <w:rFonts w:cs="Arial" w:hint="cs"/>
          <w:rtl/>
          <w:lang w:bidi="fa-IR"/>
        </w:rPr>
        <w:t>توجه</w:t>
      </w:r>
      <w:r>
        <w:rPr>
          <w:rFonts w:cs="Arial"/>
          <w:rtl/>
          <w:lang w:bidi="fa-IR"/>
        </w:rPr>
        <w:t xml:space="preserve"> </w:t>
      </w:r>
      <w:r>
        <w:rPr>
          <w:rFonts w:cs="Arial" w:hint="cs"/>
          <w:rtl/>
          <w:lang w:bidi="fa-IR"/>
        </w:rPr>
        <w:t>به</w:t>
      </w:r>
      <w:r>
        <w:rPr>
          <w:rFonts w:cs="Arial"/>
          <w:rtl/>
          <w:lang w:bidi="fa-IR"/>
        </w:rPr>
        <w:t xml:space="preserve"> </w:t>
      </w:r>
      <w:r>
        <w:rPr>
          <w:rFonts w:cs="Arial" w:hint="cs"/>
          <w:rtl/>
          <w:lang w:bidi="fa-IR"/>
        </w:rPr>
        <w:t>انتشارات</w:t>
      </w:r>
      <w:r>
        <w:rPr>
          <w:rFonts w:cs="Arial"/>
          <w:rtl/>
          <w:lang w:bidi="fa-IR"/>
        </w:rPr>
        <w:t xml:space="preserve"> </w:t>
      </w:r>
      <w:r>
        <w:rPr>
          <w:rFonts w:cs="Arial" w:hint="cs"/>
          <w:rtl/>
          <w:lang w:bidi="fa-IR"/>
        </w:rPr>
        <w:t>محیط</w:t>
      </w:r>
      <w:r>
        <w:rPr>
          <w:rFonts w:cs="Arial"/>
          <w:rtl/>
          <w:lang w:bidi="fa-IR"/>
        </w:rPr>
        <w:t xml:space="preserve"> </w:t>
      </w:r>
      <w:r>
        <w:rPr>
          <w:rFonts w:cs="Arial" w:hint="cs"/>
          <w:rtl/>
          <w:lang w:bidi="fa-IR"/>
        </w:rPr>
        <w:t>زیست</w:t>
      </w:r>
      <w:r>
        <w:rPr>
          <w:rFonts w:cs="Arial"/>
          <w:rtl/>
          <w:lang w:bidi="fa-IR"/>
        </w:rPr>
        <w:t xml:space="preserve">. </w:t>
      </w:r>
      <w:r>
        <w:rPr>
          <w:rFonts w:cs="Arial" w:hint="cs"/>
          <w:rtl/>
          <w:lang w:bidi="fa-IR"/>
        </w:rPr>
        <w:t>چهار</w:t>
      </w:r>
      <w:r>
        <w:rPr>
          <w:rFonts w:cs="Arial"/>
          <w:rtl/>
          <w:lang w:bidi="fa-IR"/>
        </w:rPr>
        <w:t xml:space="preserve"> </w:t>
      </w:r>
      <w:r>
        <w:rPr>
          <w:rFonts w:cs="Arial" w:hint="cs"/>
          <w:rtl/>
          <w:lang w:bidi="fa-IR"/>
        </w:rPr>
        <w:t>مورد</w:t>
      </w:r>
      <w:r>
        <w:rPr>
          <w:rFonts w:cs="Arial"/>
          <w:rtl/>
          <w:lang w:bidi="fa-IR"/>
        </w:rPr>
        <w:t xml:space="preserve"> </w:t>
      </w:r>
      <w:r>
        <w:rPr>
          <w:rFonts w:cs="Arial" w:hint="cs"/>
          <w:rtl/>
          <w:lang w:bidi="fa-IR"/>
        </w:rPr>
        <w:t>مختلف</w:t>
      </w:r>
      <w:r>
        <w:rPr>
          <w:rFonts w:cs="Arial"/>
          <w:rtl/>
          <w:lang w:bidi="fa-IR"/>
        </w:rPr>
        <w:t xml:space="preserve"> </w:t>
      </w:r>
      <w:r>
        <w:rPr>
          <w:rFonts w:cs="Arial" w:hint="cs"/>
          <w:rtl/>
          <w:lang w:bidi="fa-IR"/>
        </w:rPr>
        <w:t>شامل</w:t>
      </w:r>
      <w:r>
        <w:rPr>
          <w:rFonts w:cs="Arial"/>
          <w:rtl/>
          <w:lang w:bidi="fa-IR"/>
        </w:rPr>
        <w:t xml:space="preserve"> </w:t>
      </w:r>
      <w:r>
        <w:rPr>
          <w:rFonts w:cs="Arial" w:hint="cs"/>
          <w:rtl/>
          <w:lang w:bidi="fa-IR"/>
        </w:rPr>
        <w:t>یک</w:t>
      </w:r>
      <w:r>
        <w:rPr>
          <w:rFonts w:cs="Arial"/>
          <w:rtl/>
          <w:lang w:bidi="fa-IR"/>
        </w:rPr>
        <w:t xml:space="preserve"> </w:t>
      </w:r>
      <w:r>
        <w:rPr>
          <w:rFonts w:cs="Arial" w:hint="cs"/>
          <w:rtl/>
          <w:lang w:bidi="fa-IR"/>
        </w:rPr>
        <w:t>دیزل</w:t>
      </w:r>
      <w:r>
        <w:rPr>
          <w:rFonts w:cs="Arial"/>
          <w:rtl/>
          <w:lang w:bidi="fa-IR"/>
        </w:rPr>
        <w:t xml:space="preserve"> -</w:t>
      </w:r>
      <w:r>
        <w:rPr>
          <w:lang w:bidi="fa-IR"/>
        </w:rPr>
        <w:t xml:space="preserve"> </w:t>
      </w:r>
      <w:r>
        <w:rPr>
          <w:rFonts w:cs="Arial" w:hint="cs"/>
          <w:rtl/>
          <w:lang w:bidi="fa-IR"/>
        </w:rPr>
        <w:t>تنها،</w:t>
      </w:r>
      <w:r>
        <w:rPr>
          <w:rFonts w:cs="Arial"/>
          <w:rtl/>
          <w:lang w:bidi="fa-IR"/>
        </w:rPr>
        <w:t xml:space="preserve"> </w:t>
      </w:r>
      <w:r>
        <w:rPr>
          <w:rFonts w:cs="Arial" w:hint="cs"/>
          <w:rtl/>
          <w:lang w:bidi="fa-IR"/>
        </w:rPr>
        <w:lastRenderedPageBreak/>
        <w:t>یک</w:t>
      </w:r>
      <w:r>
        <w:rPr>
          <w:rFonts w:cs="Arial"/>
          <w:rtl/>
          <w:lang w:bidi="fa-IR"/>
        </w:rPr>
        <w:t xml:space="preserve"> </w:t>
      </w:r>
      <w:r>
        <w:rPr>
          <w:rFonts w:cs="Arial" w:hint="cs"/>
          <w:rtl/>
          <w:lang w:bidi="fa-IR"/>
        </w:rPr>
        <w:t>مجتمع</w:t>
      </w:r>
      <w:r>
        <w:rPr>
          <w:rFonts w:cs="Arial"/>
          <w:rtl/>
          <w:lang w:bidi="fa-IR"/>
        </w:rPr>
        <w:t xml:space="preserve"> </w:t>
      </w:r>
      <w:r>
        <w:rPr>
          <w:rFonts w:cs="Arial" w:hint="cs"/>
          <w:rtl/>
          <w:lang w:bidi="fa-IR"/>
        </w:rPr>
        <w:t>کاملا</w:t>
      </w:r>
      <w:r>
        <w:rPr>
          <w:rFonts w:cs="Arial"/>
          <w:rtl/>
          <w:lang w:bidi="fa-IR"/>
        </w:rPr>
        <w:t xml:space="preserve"> </w:t>
      </w:r>
      <w:r>
        <w:rPr>
          <w:rFonts w:cs="Arial" w:hint="cs"/>
          <w:rtl/>
          <w:lang w:bidi="fa-IR"/>
        </w:rPr>
        <w:t>تجدید</w:t>
      </w:r>
      <w:r>
        <w:rPr>
          <w:rFonts w:cs="Arial"/>
          <w:rtl/>
          <w:lang w:bidi="fa-IR"/>
        </w:rPr>
        <w:t xml:space="preserve"> </w:t>
      </w:r>
      <w:r>
        <w:rPr>
          <w:rFonts w:cs="Arial" w:hint="cs"/>
          <w:rtl/>
          <w:lang w:bidi="fa-IR"/>
        </w:rPr>
        <w:t>پذیر،</w:t>
      </w:r>
      <w:r>
        <w:rPr>
          <w:rFonts w:cs="Arial"/>
          <w:rtl/>
          <w:lang w:bidi="fa-IR"/>
        </w:rPr>
        <w:t xml:space="preserve"> </w:t>
      </w:r>
      <w:r>
        <w:rPr>
          <w:rFonts w:cs="Arial" w:hint="cs"/>
          <w:rtl/>
          <w:lang w:bidi="fa-IR"/>
        </w:rPr>
        <w:t>مخلوط</w:t>
      </w:r>
      <w:r>
        <w:rPr>
          <w:rFonts w:cs="Arial"/>
          <w:rtl/>
          <w:lang w:bidi="fa-IR"/>
        </w:rPr>
        <w:t xml:space="preserve"> </w:t>
      </w:r>
      <w:r>
        <w:rPr>
          <w:rFonts w:cs="Arial" w:hint="cs"/>
          <w:rtl/>
          <w:lang w:bidi="fa-IR"/>
        </w:rPr>
        <w:t>با</w:t>
      </w:r>
      <w:r>
        <w:rPr>
          <w:rFonts w:cs="Arial"/>
          <w:rtl/>
          <w:lang w:bidi="fa-IR"/>
        </w:rPr>
        <w:t xml:space="preserve"> </w:t>
      </w:r>
      <w:r>
        <w:rPr>
          <w:rFonts w:cs="Arial" w:hint="cs"/>
          <w:rtl/>
          <w:lang w:bidi="fa-IR"/>
        </w:rPr>
        <w:t>دیزل</w:t>
      </w:r>
      <w:r>
        <w:rPr>
          <w:rFonts w:cs="Arial"/>
          <w:rtl/>
          <w:lang w:bidi="fa-IR"/>
        </w:rPr>
        <w:t xml:space="preserve"> </w:t>
      </w:r>
      <w:r>
        <w:rPr>
          <w:rFonts w:cs="Arial" w:hint="cs"/>
          <w:rtl/>
          <w:lang w:bidi="fa-IR"/>
        </w:rPr>
        <w:t>تجدید</w:t>
      </w:r>
      <w:r>
        <w:rPr>
          <w:rFonts w:cs="Arial"/>
          <w:rtl/>
          <w:lang w:bidi="fa-IR"/>
        </w:rPr>
        <w:t xml:space="preserve"> </w:t>
      </w:r>
      <w:r>
        <w:rPr>
          <w:rFonts w:cs="Arial" w:hint="cs"/>
          <w:rtl/>
          <w:lang w:bidi="fa-IR"/>
        </w:rPr>
        <w:t>پذیر</w:t>
      </w:r>
      <w:r>
        <w:rPr>
          <w:rFonts w:cs="Arial"/>
          <w:rtl/>
          <w:lang w:bidi="fa-IR"/>
        </w:rPr>
        <w:t xml:space="preserve"> </w:t>
      </w:r>
      <w:r>
        <w:rPr>
          <w:rFonts w:cs="Arial" w:hint="cs"/>
          <w:rtl/>
          <w:lang w:bidi="fa-IR"/>
        </w:rPr>
        <w:t>و</w:t>
      </w:r>
      <w:r>
        <w:rPr>
          <w:rFonts w:cs="Arial"/>
          <w:rtl/>
          <w:lang w:bidi="fa-IR"/>
        </w:rPr>
        <w:t xml:space="preserve"> </w:t>
      </w:r>
      <w:r>
        <w:rPr>
          <w:rFonts w:cs="Arial" w:hint="cs"/>
          <w:rtl/>
          <w:lang w:bidi="fa-IR"/>
        </w:rPr>
        <w:t>مخلوط</w:t>
      </w:r>
      <w:r>
        <w:rPr>
          <w:rFonts w:cs="Arial"/>
          <w:rtl/>
          <w:lang w:bidi="fa-IR"/>
        </w:rPr>
        <w:t xml:space="preserve"> </w:t>
      </w:r>
      <w:r>
        <w:rPr>
          <w:rFonts w:cs="Arial" w:hint="cs"/>
          <w:rtl/>
          <w:lang w:bidi="fa-IR"/>
        </w:rPr>
        <w:t>شبکه</w:t>
      </w:r>
      <w:r>
        <w:rPr>
          <w:rFonts w:cs="Arial"/>
          <w:rtl/>
          <w:lang w:bidi="fa-IR"/>
        </w:rPr>
        <w:t xml:space="preserve"> </w:t>
      </w:r>
      <w:r>
        <w:rPr>
          <w:rFonts w:cs="Arial" w:hint="cs"/>
          <w:rtl/>
          <w:lang w:bidi="fa-IR"/>
        </w:rPr>
        <w:t>های</w:t>
      </w:r>
      <w:r>
        <w:rPr>
          <w:rFonts w:cs="Arial"/>
          <w:rtl/>
          <w:lang w:bidi="fa-IR"/>
        </w:rPr>
        <w:t xml:space="preserve"> </w:t>
      </w:r>
      <w:r>
        <w:rPr>
          <w:rFonts w:cs="Arial" w:hint="cs"/>
          <w:rtl/>
          <w:lang w:bidi="fa-IR"/>
        </w:rPr>
        <w:t>بیرونی،</w:t>
      </w:r>
      <w:r>
        <w:rPr>
          <w:rFonts w:cs="Arial"/>
          <w:rtl/>
          <w:lang w:bidi="fa-IR"/>
        </w:rPr>
        <w:t xml:space="preserve"> </w:t>
      </w:r>
      <w:r>
        <w:rPr>
          <w:rFonts w:cs="Arial" w:hint="cs"/>
          <w:rtl/>
          <w:lang w:bidi="fa-IR"/>
        </w:rPr>
        <w:t>برای</w:t>
      </w:r>
      <w:r>
        <w:rPr>
          <w:rFonts w:cs="Arial"/>
          <w:rtl/>
          <w:lang w:bidi="fa-IR"/>
        </w:rPr>
        <w:t xml:space="preserve"> </w:t>
      </w:r>
      <w:r>
        <w:rPr>
          <w:rFonts w:cs="Arial" w:hint="cs"/>
          <w:rtl/>
          <w:lang w:bidi="fa-IR"/>
        </w:rPr>
        <w:t>مقایسه</w:t>
      </w:r>
      <w:r>
        <w:rPr>
          <w:rFonts w:cs="Arial"/>
          <w:rtl/>
          <w:lang w:bidi="fa-IR"/>
        </w:rPr>
        <w:t xml:space="preserve"> </w:t>
      </w:r>
      <w:r>
        <w:rPr>
          <w:rFonts w:cs="Arial" w:hint="cs"/>
          <w:rtl/>
          <w:lang w:bidi="fa-IR"/>
        </w:rPr>
        <w:t>و</w:t>
      </w:r>
      <w:r>
        <w:rPr>
          <w:rFonts w:cs="Arial"/>
          <w:rtl/>
          <w:lang w:bidi="fa-IR"/>
        </w:rPr>
        <w:t xml:space="preserve"> </w:t>
      </w:r>
      <w:r>
        <w:rPr>
          <w:rFonts w:cs="Arial" w:hint="cs"/>
          <w:rtl/>
          <w:lang w:bidi="fa-IR"/>
        </w:rPr>
        <w:t>ارزیابی</w:t>
      </w:r>
      <w:r>
        <w:rPr>
          <w:rFonts w:cs="Arial"/>
          <w:rtl/>
          <w:lang w:bidi="fa-IR"/>
        </w:rPr>
        <w:t xml:space="preserve"> </w:t>
      </w:r>
      <w:r>
        <w:rPr>
          <w:rFonts w:cs="Arial" w:hint="cs"/>
          <w:rtl/>
          <w:lang w:bidi="fa-IR"/>
        </w:rPr>
        <w:t>اقتصاد،</w:t>
      </w:r>
      <w:r>
        <w:rPr>
          <w:rFonts w:cs="Arial"/>
          <w:rtl/>
          <w:lang w:bidi="fa-IR"/>
        </w:rPr>
        <w:t xml:space="preserve"> </w:t>
      </w:r>
      <w:r>
        <w:rPr>
          <w:rFonts w:cs="Arial" w:hint="cs"/>
          <w:rtl/>
          <w:lang w:bidi="fa-IR"/>
        </w:rPr>
        <w:t>عملکرد</w:t>
      </w:r>
      <w:r>
        <w:rPr>
          <w:rFonts w:cs="Arial"/>
          <w:rtl/>
          <w:lang w:bidi="fa-IR"/>
        </w:rPr>
        <w:t xml:space="preserve"> </w:t>
      </w:r>
      <w:r>
        <w:rPr>
          <w:rFonts w:cs="Arial" w:hint="cs"/>
          <w:rtl/>
          <w:lang w:bidi="fa-IR"/>
        </w:rPr>
        <w:t>عملیاتی</w:t>
      </w:r>
      <w:r>
        <w:rPr>
          <w:rFonts w:cs="Arial"/>
          <w:rtl/>
          <w:lang w:bidi="fa-IR"/>
        </w:rPr>
        <w:t xml:space="preserve"> </w:t>
      </w:r>
      <w:r>
        <w:rPr>
          <w:rFonts w:cs="Arial" w:hint="cs"/>
          <w:rtl/>
          <w:lang w:bidi="fa-IR"/>
        </w:rPr>
        <w:t>و</w:t>
      </w:r>
      <w:r>
        <w:rPr>
          <w:rFonts w:cs="Arial"/>
          <w:rtl/>
          <w:lang w:bidi="fa-IR"/>
        </w:rPr>
        <w:t xml:space="preserve"> </w:t>
      </w:r>
      <w:r>
        <w:rPr>
          <w:rFonts w:cs="Arial" w:hint="cs"/>
          <w:rtl/>
          <w:lang w:bidi="fa-IR"/>
        </w:rPr>
        <w:t>انتشار</w:t>
      </w:r>
      <w:r>
        <w:rPr>
          <w:rFonts w:cs="Arial"/>
          <w:rtl/>
          <w:lang w:bidi="fa-IR"/>
        </w:rPr>
        <w:t xml:space="preserve"> </w:t>
      </w:r>
      <w:r>
        <w:rPr>
          <w:rFonts w:cs="Arial" w:hint="cs"/>
          <w:rtl/>
          <w:lang w:bidi="fa-IR"/>
        </w:rPr>
        <w:t>گازهای</w:t>
      </w:r>
      <w:r>
        <w:rPr>
          <w:rFonts w:cs="Arial"/>
          <w:rtl/>
          <w:lang w:bidi="fa-IR"/>
        </w:rPr>
        <w:t xml:space="preserve"> </w:t>
      </w:r>
      <w:r>
        <w:rPr>
          <w:rFonts w:cs="Arial" w:hint="cs"/>
          <w:rtl/>
          <w:lang w:bidi="fa-IR"/>
        </w:rPr>
        <w:t>محیطی</w:t>
      </w:r>
      <w:r>
        <w:rPr>
          <w:rFonts w:cs="Arial"/>
          <w:rtl/>
          <w:lang w:bidi="fa-IR"/>
        </w:rPr>
        <w:t xml:space="preserve"> </w:t>
      </w:r>
      <w:r>
        <w:rPr>
          <w:rFonts w:cs="Arial" w:hint="cs"/>
          <w:rtl/>
          <w:lang w:bidi="fa-IR"/>
        </w:rPr>
        <w:t>طراحی</w:t>
      </w:r>
      <w:r>
        <w:rPr>
          <w:rFonts w:cs="Arial"/>
          <w:rtl/>
          <w:lang w:bidi="fa-IR"/>
        </w:rPr>
        <w:t xml:space="preserve"> </w:t>
      </w:r>
      <w:r>
        <w:rPr>
          <w:rFonts w:cs="Arial" w:hint="cs"/>
          <w:rtl/>
          <w:lang w:bidi="fa-IR"/>
        </w:rPr>
        <w:t>شده</w:t>
      </w:r>
      <w:r>
        <w:rPr>
          <w:rFonts w:cs="Arial"/>
          <w:rtl/>
          <w:lang w:bidi="fa-IR"/>
        </w:rPr>
        <w:t xml:space="preserve"> </w:t>
      </w:r>
      <w:r>
        <w:rPr>
          <w:rFonts w:cs="Arial" w:hint="cs"/>
          <w:rtl/>
          <w:lang w:bidi="fa-IR"/>
        </w:rPr>
        <w:t>اند</w:t>
      </w:r>
      <w:r>
        <w:rPr>
          <w:rFonts w:cs="Arial"/>
          <w:rtl/>
          <w:lang w:bidi="fa-IR"/>
        </w:rPr>
        <w:t xml:space="preserve">. </w:t>
      </w:r>
      <w:r>
        <w:rPr>
          <w:rFonts w:cs="Arial" w:hint="cs"/>
          <w:rtl/>
          <w:lang w:bidi="fa-IR"/>
        </w:rPr>
        <w:t>تجزیه</w:t>
      </w:r>
      <w:r>
        <w:rPr>
          <w:rFonts w:cs="Arial"/>
          <w:rtl/>
          <w:lang w:bidi="fa-IR"/>
        </w:rPr>
        <w:t xml:space="preserve"> </w:t>
      </w:r>
      <w:r>
        <w:rPr>
          <w:rFonts w:cs="Arial" w:hint="cs"/>
          <w:rtl/>
          <w:lang w:bidi="fa-IR"/>
        </w:rPr>
        <w:t>و</w:t>
      </w:r>
      <w:r>
        <w:rPr>
          <w:rFonts w:cs="Arial"/>
          <w:rtl/>
          <w:lang w:bidi="fa-IR"/>
        </w:rPr>
        <w:t xml:space="preserve"> </w:t>
      </w:r>
      <w:r>
        <w:rPr>
          <w:rFonts w:cs="Arial" w:hint="cs"/>
          <w:rtl/>
          <w:lang w:bidi="fa-IR"/>
        </w:rPr>
        <w:t>تحلیل</w:t>
      </w:r>
      <w:r>
        <w:rPr>
          <w:rFonts w:cs="Arial"/>
          <w:rtl/>
          <w:lang w:bidi="fa-IR"/>
        </w:rPr>
        <w:t xml:space="preserve"> </w:t>
      </w:r>
      <w:r>
        <w:rPr>
          <w:rFonts w:cs="Arial" w:hint="cs"/>
          <w:rtl/>
          <w:lang w:bidi="fa-IR"/>
        </w:rPr>
        <w:t>نیز</w:t>
      </w:r>
      <w:r>
        <w:rPr>
          <w:rFonts w:cs="Arial"/>
          <w:rtl/>
          <w:lang w:bidi="fa-IR"/>
        </w:rPr>
        <w:t xml:space="preserve"> </w:t>
      </w:r>
      <w:r>
        <w:rPr>
          <w:rFonts w:cs="Arial" w:hint="cs"/>
          <w:rtl/>
          <w:lang w:bidi="fa-IR"/>
        </w:rPr>
        <w:t>برای</w:t>
      </w:r>
      <w:r>
        <w:rPr>
          <w:rFonts w:cs="Arial"/>
          <w:rtl/>
          <w:lang w:bidi="fa-IR"/>
        </w:rPr>
        <w:t xml:space="preserve"> </w:t>
      </w:r>
      <w:r>
        <w:rPr>
          <w:rFonts w:cs="Arial" w:hint="cs"/>
          <w:rtl/>
          <w:lang w:bidi="fa-IR"/>
        </w:rPr>
        <w:t>تعیین</w:t>
      </w:r>
      <w:r>
        <w:rPr>
          <w:rFonts w:cs="Arial"/>
          <w:rtl/>
          <w:lang w:bidi="fa-IR"/>
        </w:rPr>
        <w:t xml:space="preserve"> </w:t>
      </w:r>
      <w:r>
        <w:rPr>
          <w:rFonts w:cs="Arial" w:hint="cs"/>
          <w:rtl/>
          <w:lang w:bidi="fa-IR"/>
        </w:rPr>
        <w:t>اقتصاد</w:t>
      </w:r>
      <w:r>
        <w:rPr>
          <w:rFonts w:cs="Arial"/>
          <w:rtl/>
          <w:lang w:bidi="fa-IR"/>
        </w:rPr>
        <w:t xml:space="preserve"> </w:t>
      </w:r>
      <w:r>
        <w:rPr>
          <w:rFonts w:cs="Arial" w:hint="cs"/>
          <w:rtl/>
          <w:lang w:bidi="fa-IR"/>
        </w:rPr>
        <w:t>بی</w:t>
      </w:r>
      <w:r>
        <w:rPr>
          <w:rFonts w:cs="Arial"/>
          <w:rtl/>
          <w:lang w:bidi="fa-IR"/>
        </w:rPr>
        <w:t xml:space="preserve"> </w:t>
      </w:r>
      <w:r>
        <w:rPr>
          <w:rFonts w:cs="Arial" w:hint="cs"/>
          <w:rtl/>
          <w:lang w:bidi="fa-IR"/>
        </w:rPr>
        <w:t>وقفه</w:t>
      </w:r>
      <w:r>
        <w:rPr>
          <w:rFonts w:cs="Arial"/>
          <w:rtl/>
          <w:lang w:bidi="fa-IR"/>
        </w:rPr>
        <w:t xml:space="preserve"> </w:t>
      </w:r>
      <w:r>
        <w:rPr>
          <w:rFonts w:cs="Arial" w:hint="cs"/>
          <w:rtl/>
          <w:lang w:bidi="fa-IR"/>
        </w:rPr>
        <w:t>برای</w:t>
      </w:r>
      <w:r>
        <w:rPr>
          <w:rFonts w:cs="Arial"/>
          <w:rtl/>
          <w:lang w:bidi="fa-IR"/>
        </w:rPr>
        <w:t xml:space="preserve"> </w:t>
      </w:r>
      <w:r>
        <w:rPr>
          <w:lang w:bidi="fa-IR"/>
        </w:rPr>
        <w:t>microgrid</w:t>
      </w:r>
      <w:r>
        <w:rPr>
          <w:rFonts w:cs="Arial"/>
          <w:rtl/>
          <w:lang w:bidi="fa-IR"/>
        </w:rPr>
        <w:t xml:space="preserve"> </w:t>
      </w:r>
      <w:r>
        <w:rPr>
          <w:rFonts w:cs="Arial" w:hint="cs"/>
          <w:rtl/>
          <w:lang w:bidi="fa-IR"/>
        </w:rPr>
        <w:t>متصل</w:t>
      </w:r>
      <w:r>
        <w:rPr>
          <w:rFonts w:cs="Arial"/>
          <w:rtl/>
          <w:lang w:bidi="fa-IR"/>
        </w:rPr>
        <w:t xml:space="preserve"> </w:t>
      </w:r>
      <w:r>
        <w:rPr>
          <w:rFonts w:cs="Arial" w:hint="cs"/>
          <w:rtl/>
          <w:lang w:bidi="fa-IR"/>
        </w:rPr>
        <w:t>به</w:t>
      </w:r>
      <w:r>
        <w:rPr>
          <w:rFonts w:cs="Arial"/>
          <w:rtl/>
          <w:lang w:bidi="fa-IR"/>
        </w:rPr>
        <w:t xml:space="preserve"> </w:t>
      </w:r>
      <w:r>
        <w:rPr>
          <w:rFonts w:cs="Arial" w:hint="cs"/>
          <w:rtl/>
          <w:lang w:bidi="fa-IR"/>
        </w:rPr>
        <w:t>شبکه</w:t>
      </w:r>
      <w:r>
        <w:rPr>
          <w:rFonts w:cs="Arial"/>
          <w:rtl/>
          <w:lang w:bidi="fa-IR"/>
        </w:rPr>
        <w:t xml:space="preserve"> </w:t>
      </w:r>
      <w:r>
        <w:rPr>
          <w:rFonts w:cs="Arial" w:hint="cs"/>
          <w:rtl/>
          <w:lang w:bidi="fa-IR"/>
        </w:rPr>
        <w:t>انجام</w:t>
      </w:r>
      <w:r>
        <w:rPr>
          <w:rFonts w:cs="Arial"/>
          <w:rtl/>
          <w:lang w:bidi="fa-IR"/>
        </w:rPr>
        <w:t xml:space="preserve"> </w:t>
      </w:r>
      <w:r>
        <w:rPr>
          <w:rFonts w:cs="Arial" w:hint="cs"/>
          <w:rtl/>
          <w:lang w:bidi="fa-IR"/>
        </w:rPr>
        <w:t>شده</w:t>
      </w:r>
      <w:r>
        <w:rPr>
          <w:rFonts w:cs="Arial"/>
          <w:rtl/>
          <w:lang w:bidi="fa-IR"/>
        </w:rPr>
        <w:t xml:space="preserve"> </w:t>
      </w:r>
      <w:r>
        <w:rPr>
          <w:rFonts w:cs="Arial" w:hint="cs"/>
          <w:rtl/>
          <w:lang w:bidi="fa-IR"/>
        </w:rPr>
        <w:t>است</w:t>
      </w:r>
      <w:r>
        <w:rPr>
          <w:rFonts w:cs="Arial"/>
          <w:rtl/>
          <w:lang w:bidi="fa-IR"/>
        </w:rPr>
        <w:t xml:space="preserve">. </w:t>
      </w:r>
      <w:r>
        <w:rPr>
          <w:rFonts w:cs="Arial" w:hint="cs"/>
          <w:rtl/>
          <w:lang w:bidi="fa-IR"/>
        </w:rPr>
        <w:t>نرم</w:t>
      </w:r>
      <w:r>
        <w:rPr>
          <w:rFonts w:cs="Arial"/>
          <w:rtl/>
          <w:lang w:bidi="fa-IR"/>
        </w:rPr>
        <w:t xml:space="preserve"> </w:t>
      </w:r>
      <w:r>
        <w:rPr>
          <w:rFonts w:cs="Arial" w:hint="cs"/>
          <w:rtl/>
          <w:lang w:bidi="fa-IR"/>
        </w:rPr>
        <w:t>افزار</w:t>
      </w:r>
      <w:r>
        <w:rPr>
          <w:rFonts w:cs="Arial"/>
          <w:rtl/>
          <w:lang w:bidi="fa-IR"/>
        </w:rPr>
        <w:t xml:space="preserve"> </w:t>
      </w:r>
      <w:r>
        <w:rPr>
          <w:rFonts w:cs="Arial" w:hint="cs"/>
          <w:rtl/>
          <w:lang w:bidi="fa-IR"/>
        </w:rPr>
        <w:t>شناخته</w:t>
      </w:r>
      <w:r>
        <w:rPr>
          <w:rFonts w:cs="Arial"/>
          <w:rtl/>
          <w:lang w:bidi="fa-IR"/>
        </w:rPr>
        <w:t xml:space="preserve"> </w:t>
      </w:r>
      <w:r>
        <w:rPr>
          <w:rFonts w:cs="Arial" w:hint="cs"/>
          <w:rtl/>
          <w:lang w:bidi="fa-IR"/>
        </w:rPr>
        <w:t>شده</w:t>
      </w:r>
      <w:r>
        <w:rPr>
          <w:rFonts w:cs="Arial"/>
          <w:rtl/>
          <w:lang w:bidi="fa-IR"/>
        </w:rPr>
        <w:t xml:space="preserve"> </w:t>
      </w:r>
      <w:r>
        <w:rPr>
          <w:rFonts w:cs="Arial" w:hint="cs"/>
          <w:rtl/>
          <w:lang w:bidi="fa-IR"/>
        </w:rPr>
        <w:t>انرژی</w:t>
      </w:r>
      <w:r>
        <w:rPr>
          <w:rFonts w:cs="Arial"/>
          <w:rtl/>
          <w:lang w:bidi="fa-IR"/>
        </w:rPr>
        <w:t xml:space="preserve"> </w:t>
      </w:r>
      <w:r>
        <w:rPr>
          <w:rFonts w:cs="Arial" w:hint="cs"/>
          <w:rtl/>
          <w:lang w:bidi="fa-IR"/>
        </w:rPr>
        <w:t>مدل</w:t>
      </w:r>
      <w:r>
        <w:rPr>
          <w:rFonts w:cs="Arial"/>
          <w:rtl/>
          <w:lang w:bidi="fa-IR"/>
        </w:rPr>
        <w:t xml:space="preserve"> </w:t>
      </w:r>
      <w:r>
        <w:rPr>
          <w:rFonts w:cs="Arial" w:hint="cs"/>
          <w:rtl/>
          <w:lang w:bidi="fa-IR"/>
        </w:rPr>
        <w:t>سازی</w:t>
      </w:r>
      <w:r>
        <w:rPr>
          <w:rFonts w:cs="Arial"/>
          <w:rtl/>
          <w:lang w:bidi="fa-IR"/>
        </w:rPr>
        <w:t xml:space="preserve"> </w:t>
      </w:r>
      <w:r>
        <w:rPr>
          <w:rFonts w:cs="Arial" w:hint="cs"/>
          <w:rtl/>
          <w:lang w:bidi="fa-IR"/>
        </w:rPr>
        <w:t>برای</w:t>
      </w:r>
      <w:r>
        <w:rPr>
          <w:rFonts w:cs="Arial"/>
          <w:rtl/>
          <w:lang w:bidi="fa-IR"/>
        </w:rPr>
        <w:t xml:space="preserve"> </w:t>
      </w:r>
      <w:r>
        <w:rPr>
          <w:rFonts w:cs="Arial" w:hint="cs"/>
          <w:rtl/>
          <w:lang w:bidi="fa-IR"/>
        </w:rPr>
        <w:t>سیستم</w:t>
      </w:r>
      <w:r>
        <w:rPr>
          <w:rFonts w:cs="Arial"/>
          <w:rtl/>
          <w:lang w:bidi="fa-IR"/>
        </w:rPr>
        <w:t xml:space="preserve"> </w:t>
      </w:r>
      <w:r>
        <w:rPr>
          <w:rFonts w:cs="Arial" w:hint="cs"/>
          <w:rtl/>
          <w:lang w:bidi="fa-IR"/>
        </w:rPr>
        <w:t>های</w:t>
      </w:r>
      <w:r>
        <w:rPr>
          <w:rFonts w:cs="Arial"/>
          <w:rtl/>
          <w:lang w:bidi="fa-IR"/>
        </w:rPr>
        <w:t xml:space="preserve"> </w:t>
      </w:r>
      <w:r>
        <w:rPr>
          <w:rFonts w:cs="Arial" w:hint="cs"/>
          <w:rtl/>
          <w:lang w:bidi="fa-IR"/>
        </w:rPr>
        <w:t>انرژی</w:t>
      </w:r>
      <w:r>
        <w:rPr>
          <w:rFonts w:cs="Arial"/>
          <w:rtl/>
          <w:lang w:bidi="fa-IR"/>
        </w:rPr>
        <w:t xml:space="preserve"> </w:t>
      </w:r>
      <w:r>
        <w:rPr>
          <w:rFonts w:cs="Arial" w:hint="cs"/>
          <w:rtl/>
          <w:lang w:bidi="fa-IR"/>
        </w:rPr>
        <w:t>تجدید</w:t>
      </w:r>
      <w:r>
        <w:rPr>
          <w:rFonts w:cs="Arial"/>
          <w:rtl/>
          <w:lang w:bidi="fa-IR"/>
        </w:rPr>
        <w:t xml:space="preserve"> </w:t>
      </w:r>
      <w:r>
        <w:rPr>
          <w:rFonts w:cs="Arial" w:hint="cs"/>
          <w:rtl/>
          <w:lang w:bidi="fa-IR"/>
        </w:rPr>
        <w:t>پذیر</w:t>
      </w:r>
      <w:r>
        <w:rPr>
          <w:rFonts w:cs="Arial"/>
          <w:rtl/>
          <w:lang w:bidi="fa-IR"/>
        </w:rPr>
        <w:t xml:space="preserve"> </w:t>
      </w:r>
      <w:r>
        <w:rPr>
          <w:rFonts w:cs="Arial" w:hint="cs"/>
          <w:rtl/>
          <w:lang w:bidi="fa-IR"/>
        </w:rPr>
        <w:t>ترکیبی،</w:t>
      </w:r>
      <w:r>
        <w:rPr>
          <w:rFonts w:cs="Arial"/>
          <w:rtl/>
          <w:lang w:bidi="fa-IR"/>
        </w:rPr>
        <w:t xml:space="preserve"> </w:t>
      </w:r>
      <w:r>
        <w:rPr>
          <w:lang w:bidi="fa-IR"/>
        </w:rPr>
        <w:t>HOMER</w:t>
      </w:r>
      <w:r>
        <w:rPr>
          <w:rFonts w:cs="Arial"/>
          <w:rtl/>
          <w:lang w:bidi="fa-IR"/>
        </w:rPr>
        <w:t xml:space="preserve"> </w:t>
      </w:r>
      <w:r>
        <w:rPr>
          <w:rFonts w:cs="Arial" w:hint="cs"/>
          <w:rtl/>
          <w:lang w:bidi="fa-IR"/>
        </w:rPr>
        <w:t>در</w:t>
      </w:r>
      <w:r>
        <w:rPr>
          <w:rFonts w:cs="Arial"/>
          <w:rtl/>
          <w:lang w:bidi="fa-IR"/>
        </w:rPr>
        <w:t xml:space="preserve"> </w:t>
      </w:r>
      <w:r>
        <w:rPr>
          <w:rFonts w:cs="Arial" w:hint="cs"/>
          <w:rtl/>
          <w:lang w:bidi="fa-IR"/>
        </w:rPr>
        <w:t>مطالعات</w:t>
      </w:r>
      <w:r>
        <w:rPr>
          <w:rFonts w:cs="Arial"/>
          <w:rtl/>
          <w:lang w:bidi="fa-IR"/>
        </w:rPr>
        <w:t xml:space="preserve"> </w:t>
      </w:r>
      <w:r>
        <w:rPr>
          <w:rFonts w:cs="Arial" w:hint="cs"/>
          <w:rtl/>
          <w:lang w:bidi="fa-IR"/>
        </w:rPr>
        <w:t>گزارش</w:t>
      </w:r>
      <w:r>
        <w:rPr>
          <w:rFonts w:cs="Arial"/>
          <w:rtl/>
          <w:lang w:bidi="fa-IR"/>
        </w:rPr>
        <w:t xml:space="preserve"> </w:t>
      </w:r>
      <w:r>
        <w:rPr>
          <w:rFonts w:cs="Arial" w:hint="cs"/>
          <w:rtl/>
          <w:lang w:bidi="fa-IR"/>
        </w:rPr>
        <w:t>شده</w:t>
      </w:r>
      <w:r>
        <w:rPr>
          <w:rFonts w:cs="Arial"/>
          <w:rtl/>
          <w:lang w:bidi="fa-IR"/>
        </w:rPr>
        <w:t xml:space="preserve"> </w:t>
      </w:r>
      <w:r>
        <w:rPr>
          <w:rFonts w:cs="Arial" w:hint="cs"/>
          <w:rtl/>
          <w:lang w:bidi="fa-IR"/>
        </w:rPr>
        <w:t>در</w:t>
      </w:r>
      <w:r>
        <w:rPr>
          <w:rFonts w:cs="Arial"/>
          <w:rtl/>
          <w:lang w:bidi="fa-IR"/>
        </w:rPr>
        <w:t xml:space="preserve"> </w:t>
      </w:r>
      <w:r>
        <w:rPr>
          <w:rFonts w:cs="Arial" w:hint="cs"/>
          <w:rtl/>
          <w:lang w:bidi="fa-IR"/>
        </w:rPr>
        <w:t>این</w:t>
      </w:r>
      <w:r>
        <w:rPr>
          <w:rFonts w:cs="Arial"/>
          <w:rtl/>
          <w:lang w:bidi="fa-IR"/>
        </w:rPr>
        <w:t xml:space="preserve"> </w:t>
      </w:r>
      <w:r>
        <w:rPr>
          <w:rFonts w:cs="Arial" w:hint="cs"/>
          <w:rtl/>
          <w:lang w:bidi="fa-IR"/>
        </w:rPr>
        <w:t>مقاله</w:t>
      </w:r>
      <w:r>
        <w:rPr>
          <w:rFonts w:cs="Arial"/>
          <w:rtl/>
          <w:lang w:bidi="fa-IR"/>
        </w:rPr>
        <w:t xml:space="preserve"> </w:t>
      </w:r>
      <w:r>
        <w:rPr>
          <w:rFonts w:cs="Arial" w:hint="cs"/>
          <w:rtl/>
          <w:lang w:bidi="fa-IR"/>
        </w:rPr>
        <w:t>استفاده</w:t>
      </w:r>
      <w:r>
        <w:rPr>
          <w:rFonts w:cs="Arial"/>
          <w:rtl/>
          <w:lang w:bidi="fa-IR"/>
        </w:rPr>
        <w:t xml:space="preserve"> </w:t>
      </w:r>
      <w:r>
        <w:rPr>
          <w:rFonts w:cs="Arial" w:hint="cs"/>
          <w:rtl/>
          <w:lang w:bidi="fa-IR"/>
        </w:rPr>
        <w:t>می</w:t>
      </w:r>
      <w:r>
        <w:rPr>
          <w:rFonts w:cs="Arial"/>
          <w:rtl/>
          <w:lang w:bidi="fa-IR"/>
        </w:rPr>
        <w:t xml:space="preserve"> </w:t>
      </w:r>
      <w:r>
        <w:rPr>
          <w:rFonts w:cs="Arial" w:hint="cs"/>
          <w:rtl/>
          <w:lang w:bidi="fa-IR"/>
        </w:rPr>
        <w:t>شود</w:t>
      </w:r>
      <w:r>
        <w:rPr>
          <w:rFonts w:cs="Arial"/>
          <w:rtl/>
          <w:lang w:bidi="fa-IR"/>
        </w:rPr>
        <w:t>.</w:t>
      </w:r>
    </w:p>
    <w:p w14:paraId="7248ADE8" w14:textId="77777777" w:rsidR="00227917" w:rsidRDefault="00227917" w:rsidP="002F0D7F">
      <w:pPr>
        <w:bidi/>
      </w:pPr>
      <w:r>
        <w:rPr>
          <w:rtl/>
        </w:rPr>
        <w:t xml:space="preserve">ین مقاله ارائه طرح های بهینه و مطالعات تطبیقی ​​را برای یک نوع دیزلی، یک مجتمع کاملا تجدید پذیر، مخلوط با دیزل تجدید پذیر و یک پیکربندی </w:t>
      </w:r>
      <w:r>
        <w:t>microgrid</w:t>
      </w:r>
      <w:r>
        <w:rPr>
          <w:rtl/>
        </w:rPr>
        <w:t xml:space="preserve"> متصل به شبکه خارجی ارائه می دهد. گزینه های مختلف انرژی تجدید پذیر مانند فتوولتائیک خورشیدی (</w:t>
      </w:r>
      <w:r>
        <w:t>PV</w:t>
      </w:r>
      <w:r>
        <w:rPr>
          <w:rtl/>
        </w:rPr>
        <w:t xml:space="preserve">)، باد، میکرو هیدروژن و باتری ها به عنوان گزینه های ممکن در طرح تامین مایکروگرید مورد توجه قرار می گیرند. مطالعات با استفاده از نرم افزار </w:t>
      </w:r>
      <w:r>
        <w:t>HOMER</w:t>
      </w:r>
      <w:r>
        <w:rPr>
          <w:rtl/>
        </w:rPr>
        <w:t xml:space="preserve"> انجام می شود که یک ابزار بسیار کارآمد برای مطالعات موردی و تجزیه و تحلیل سیاست است. تجزیه و تحلیل نشان می دهد که میکرو گرید مخلوط قابل بازیافت با کمترین هزینه خالص فعلی (</w:t>
      </w:r>
      <w:r>
        <w:t>NPC</w:t>
      </w:r>
      <w:r>
        <w:rPr>
          <w:rtl/>
        </w:rPr>
        <w:t xml:space="preserve">) و یک نسبتا کوچک کربن با استفاده از میکروگرید مبتنی بر دیزلی است. اگرچه یک </w:t>
      </w:r>
      <w:r>
        <w:t>microgrid</w:t>
      </w:r>
      <w:r>
        <w:rPr>
          <w:rtl/>
        </w:rPr>
        <w:t xml:space="preserve"> مبتنی بر به طور کامل تجدید پذیر است که دارای رد پای کربن است، ترجیح داده شده است، هزینه خالص فعلی (</w:t>
      </w:r>
      <w:r>
        <w:t>NPC</w:t>
      </w:r>
      <w:r>
        <w:rPr>
          <w:rtl/>
        </w:rPr>
        <w:t xml:space="preserve">) بالاتر است. تجزیه و تحلیل نیز برای تعیین فاصله گسترش شبکه بی نقص از محل </w:t>
      </w:r>
      <w:r>
        <w:t>microgrid</w:t>
      </w:r>
      <w:r>
        <w:rPr>
          <w:rtl/>
        </w:rPr>
        <w:t xml:space="preserve"> انجام شده است. مشاهده می شود که وقتی </w:t>
      </w:r>
      <w:r>
        <w:t>microgrid</w:t>
      </w:r>
      <w:r>
        <w:rPr>
          <w:rtl/>
        </w:rPr>
        <w:t xml:space="preserve"> به شبکه خارجی (</w:t>
      </w:r>
      <w:r>
        <w:t>Case-4</w:t>
      </w:r>
      <w:r>
        <w:rPr>
          <w:rtl/>
        </w:rPr>
        <w:t xml:space="preserve">) متصل می شود، این گزینه از لحاظ اقتصادی مطلوب تر است زیرا هزینه های سرمایه ای در آن وجود ندارد و هزینه های عملیاتی و نگهداری آن در مقایسه با میکروگرید مبتنی بر دیزل. علاوه بر این، </w:t>
      </w:r>
      <w:r>
        <w:t>microgrid</w:t>
      </w:r>
      <w:r>
        <w:rPr>
          <w:rtl/>
        </w:rPr>
        <w:t xml:space="preserve"> ترین محیط سازگار با محیط زیست، یک میکروگرید انرژی قابل تجدید (</w:t>
      </w:r>
      <w:r>
        <w:t>Case-2</w:t>
      </w:r>
      <w:r>
        <w:rPr>
          <w:rtl/>
        </w:rPr>
        <w:t>) است و موجب صرفه جویی قابل ملاحظه ای در انتشار سیستم می شود.</w:t>
      </w:r>
      <w:r w:rsidRPr="00227917">
        <w:rPr>
          <w:rtl/>
        </w:rPr>
        <w:t xml:space="preserve"> </w:t>
      </w:r>
      <w:r>
        <w:rPr>
          <w:rtl/>
        </w:rPr>
        <w:t xml:space="preserve">لازم به ذکر است که با توجه به سرمایه اولیه و هزینه های جایگزینی آن، کارهای زیادی در زمینه انرژی تجدیدپذیر و توسعه سیستم مخلوط صورت می گیرد. به عنوان مثال، تعرفه های خوراک دولتی نقش مهمی را در هزینه های سیستم انرژی تجدید پذیر بازی می کنند. این کار همچنین نشان می دهد که اجازه می دهد مقدار کمی از بار سالانه را از دست ندهید باعث می شود </w:t>
      </w:r>
      <w:r>
        <w:t>microgrid (Case-3)</w:t>
      </w:r>
      <w:r>
        <w:rPr>
          <w:rtl/>
        </w:rPr>
        <w:t xml:space="preserve"> مقرون به صرفه تر است. همچنین، فاصله فاصلهی ارائه شده در این کار نشان میدهد که میکروگرید های جدا شده، دور از نقطه اتصال شبکه خارجی، میکرو گرید مخلوط (</w:t>
      </w:r>
      <w:r>
        <w:t>Case-3</w:t>
      </w:r>
      <w:r>
        <w:rPr>
          <w:rtl/>
        </w:rPr>
        <w:t xml:space="preserve">)، انتخاب اقتصادی مطلوب ترین است. در نهایت، </w:t>
      </w:r>
      <w:r>
        <w:t>HOMER</w:t>
      </w:r>
      <w:r>
        <w:rPr>
          <w:rtl/>
        </w:rPr>
        <w:t xml:space="preserve"> ابزار بسیار مفید برای برنامه ریزی و ارسال میکروگرا بود</w:t>
      </w:r>
      <w:r>
        <w:rPr>
          <w:rtl/>
        </w:rPr>
        <w:fldChar w:fldCharType="begin" w:fldLock="1"/>
      </w:r>
      <w:r>
        <w:instrText>ADDIN CSL_CITATION { "citationItems" : [ { "id" : "ITEM-1", "itemData" : { "DOI" : "10.1016/j.renene.2012.01.087", "ISBN" : "0960-1481", "ISSN" : "09601481", "abstract" : "Renewable energy sources are gradually being recognized as important options in supply side planning for microgrids. This paper focuses on the optimal design, planning, sizing and operation of a hybrid, renewable energy based microgrid with the goal of minimizing the lifecycle cost, while taking into account environmental emissions. Four different cases including a diesel-only, a fully renewable-based, a diesel-renewable mixed, and an external grid-connected microgrid configurations are designed, to compare and evaluate their economics, operational performance and environmental emissions. Analysis is also carried out to determine the break-even economics for a grid-connected microgrid. The well-known energy modeling software for hybrid renewable energy systems, HOMER is used in the studies reported in this paper. \u00a9 2012 Elsevier Ltd.", "author" : [ { "dropping-particle" : "", "family" : "Hafez", "given" : "Omar", "non-dropping-particle" : "", "parse-names" : false, "suffix" : "" }, { "dropping-particle" : "", "family" : "Bhattacharya", "given" : "Kankar", "non-dropping-particle" : "", "parse-names" : false, "suffix" : "" } ], "container-title" : "Renewable Energy", "id" : "ITEM-1", "issued" : { "date-parts" : [ [ "2012" ] ] }, "page" : "7-15", "publisher" : "Elsevier Ltd", "title" : "Optimal planning and design of a renewable energy based supply system for microgrids", "type" : "article-journal", "volume" : "45" }, "uris" : [ "http://www.mendeley.com/documents/?uuid=5ade6b74-f944-44d5-a011-f6990f15a882" ] } ], "mendeley" : { "formattedCitation" : "(Hafez &amp; Bhattacharya, 2012)", "plainTextFormattedCitation" : "(Hafez &amp; Bhattacharya, 2012)", "previouslyFormattedCitation" : "(Hafez &amp; Bhattacharya, 2012)" }, "properties" : {  }, "schema" : "https://github.com/citation-style-language/schema/raw/master/csl-citation.json" }</w:instrText>
      </w:r>
      <w:r>
        <w:rPr>
          <w:rtl/>
        </w:rPr>
        <w:fldChar w:fldCharType="separate"/>
      </w:r>
      <w:r w:rsidRPr="00227917">
        <w:rPr>
          <w:noProof/>
        </w:rPr>
        <w:t>(Hafez &amp; Bhattacharya, 2012)</w:t>
      </w:r>
      <w:r>
        <w:rPr>
          <w:rtl/>
        </w:rPr>
        <w:fldChar w:fldCharType="end"/>
      </w:r>
      <w:r>
        <w:rPr>
          <w:rtl/>
        </w:rPr>
        <w:t>.</w:t>
      </w:r>
    </w:p>
    <w:p w14:paraId="69449E9B" w14:textId="77777777" w:rsidR="003D0138" w:rsidRDefault="003D0138" w:rsidP="002F0D7F">
      <w:pPr>
        <w:bidi/>
        <w:rPr>
          <w:rFonts w:cs="B Lotus"/>
          <w:lang w:bidi="fa-IR"/>
        </w:rPr>
      </w:pPr>
      <w:r>
        <w:rPr>
          <w:rFonts w:cs="B Lotus" w:hint="cs"/>
          <w:rtl/>
          <w:lang w:bidi="fa-IR"/>
        </w:rPr>
        <w:t xml:space="preserve">بروکشیر و همکارانش </w:t>
      </w:r>
      <w:r w:rsidRPr="00262069">
        <w:rPr>
          <w:rFonts w:cs="B Lotus"/>
          <w:rtl/>
          <w:lang w:bidi="fa-IR"/>
        </w:rPr>
        <w:t xml:space="preserve">مطالعات </w:t>
      </w:r>
      <w:r>
        <w:rPr>
          <w:rFonts w:cs="B Lotus" w:hint="cs"/>
          <w:rtl/>
          <w:lang w:bidi="fa-IR"/>
        </w:rPr>
        <w:t>طرح</w:t>
      </w:r>
      <w:r>
        <w:rPr>
          <w:rFonts w:cs="B Lotus"/>
          <w:rtl/>
          <w:lang w:bidi="fa-IR"/>
        </w:rPr>
        <w:softHyphen/>
      </w:r>
      <w:r w:rsidRPr="00262069">
        <w:rPr>
          <w:rFonts w:cs="B Lotus"/>
          <w:rtl/>
          <w:lang w:bidi="fa-IR"/>
        </w:rPr>
        <w:t xml:space="preserve">ریزی انرژی استراتژیک، توسعه منابع انرژی و سیاست های بهره وری انرژی ایجاد شده توسط قبایل درون قاره آمریکا را بررسی می کنند.. آنها دریافتند که مشوق ها و خدمات مشاوره ای از دولت فدرال کلیدی برای توسعه ظرفیت قبایل برای پیگیری </w:t>
      </w:r>
      <w:r>
        <w:rPr>
          <w:rFonts w:cs="B Lotus" w:hint="cs"/>
          <w:rtl/>
          <w:lang w:bidi="fa-IR"/>
        </w:rPr>
        <w:t>طرح</w:t>
      </w:r>
      <w:r>
        <w:rPr>
          <w:rFonts w:cs="B Lotus"/>
          <w:rtl/>
          <w:lang w:bidi="fa-IR"/>
        </w:rPr>
        <w:softHyphen/>
      </w:r>
      <w:r w:rsidRPr="00262069">
        <w:rPr>
          <w:rFonts w:cs="B Lotus"/>
          <w:rtl/>
          <w:lang w:bidi="fa-IR"/>
        </w:rPr>
        <w:t xml:space="preserve">ای انرژی و توسعه منابع انرژی هستند. قبایل با </w:t>
      </w:r>
      <w:r>
        <w:rPr>
          <w:rFonts w:cs="B Lotus" w:hint="cs"/>
          <w:rtl/>
          <w:lang w:bidi="fa-IR"/>
        </w:rPr>
        <w:t>طرح</w:t>
      </w:r>
      <w:r>
        <w:rPr>
          <w:rFonts w:cs="B Lotus"/>
          <w:rtl/>
          <w:lang w:bidi="fa-IR"/>
        </w:rPr>
        <w:softHyphen/>
      </w:r>
      <w:r w:rsidRPr="00262069">
        <w:rPr>
          <w:rFonts w:cs="B Lotus"/>
          <w:rtl/>
          <w:lang w:bidi="fa-IR"/>
        </w:rPr>
        <w:t xml:space="preserve">های رسمی </w:t>
      </w:r>
      <w:r>
        <w:rPr>
          <w:rFonts w:cs="B Lotus" w:hint="cs"/>
          <w:rtl/>
          <w:lang w:bidi="fa-IR"/>
        </w:rPr>
        <w:t xml:space="preserve">و </w:t>
      </w:r>
      <w:r w:rsidRPr="00262069">
        <w:rPr>
          <w:rFonts w:cs="B Lotus"/>
          <w:rtl/>
          <w:lang w:bidi="fa-IR"/>
        </w:rPr>
        <w:t xml:space="preserve">چشم انداز انرژی </w:t>
      </w:r>
      <w:r>
        <w:rPr>
          <w:rFonts w:cs="B Lotus" w:hint="cs"/>
          <w:rtl/>
          <w:lang w:bidi="fa-IR"/>
        </w:rPr>
        <w:t>نسبت به</w:t>
      </w:r>
      <w:r w:rsidRPr="00262069">
        <w:rPr>
          <w:rFonts w:cs="B Lotus"/>
          <w:rtl/>
          <w:lang w:bidi="fa-IR"/>
        </w:rPr>
        <w:t xml:space="preserve"> قبایل بدون آنها بیشتر احتمال دارد که منابع انرژی را توسعه دهند و در یک رویکرد جامع و پایدار برای توسعه منابع انرژی و بهره وری انرژی مشارکت دارند</w:t>
      </w:r>
      <w:r w:rsidRPr="00262069">
        <w:rPr>
          <w:rFonts w:cs="B Lotus"/>
          <w:rtl/>
          <w:lang w:bidi="fa-IR"/>
        </w:rPr>
        <w:fldChar w:fldCharType="begin" w:fldLock="1"/>
      </w:r>
      <w:r>
        <w:rPr>
          <w:rFonts w:cs="B Lotus"/>
          <w:lang w:bidi="fa-IR"/>
        </w:rPr>
        <w:instrText>ADDIN CSL_CITATION { "citationItems" : [ { "id" : "ITEM-1", "itemData" : { "DOI" : "10.1016/j.enpol.2013.07.021", "ISSN" : "03014215", "abstract" : "The prevalence of energy resources on American Indian lands, the links between energy management and tribal sovereignty, and recent federal government incentives make tribal energy planning an interesting case study for community energy planning in the US. This paper studies the strategic energy planning efforts, energy resource development, and energy efficiency policies established by tribes within the continental US. The paper analyzes the results of a survey of various tribes' energy resource development and planning efforts and supplements the responses with publicly available information on resources, economics, and demographics. We find that incentives and advisory services from the federal government are key to developing the capacity of the tribes to pursue energy planning and energy resource development. These incentives largely avoid the misdeeds of past federal policy by promoting tribal control over energy planning and energy resource development efforts. Tribes with formal energy plans or visions are more likely to develop energy resources than tribes without them and are engaged in a more comprehensive and sustainable approach to energy resource development and energy efficiency. ?? 2013 Elsevier Ltd.", "author" : [ { "dropping-particle" : "", "family" : "Brookshire", "given" : "Daniel", "non-dropping-particle" : "", "parse-names" : false, "suffix" : "" }, { "dropping-particle" : "", "family" : "Kaza", "given" : "Nikhil", "non-dropping-particle" : "", "parse-names" : false, "suffix" : "" } ], "container-title" : "Energy Policy", "id" : "ITEM-1", "issued" : { "date-parts" : [ [ "2013" ] ] }, "page" : "1506-1514", "publisher" : "Elsevier", "title" : "Planning for seven generations: Energy planning of American Indian tribes", "type" : "article-journal", "volume" : "62" }, "uris" : [ "http://www.mendeley.com/documents/?uuid=7868eb9b-d8ec-414d-9b33-e7317a0f9850" ] } ], "mendeley" : { "formattedCitation" : "(Brookshire &amp; Kaza, 2013)", "plainTextFormattedCitation" : "(Brookshire &amp; Kaza, 2013)", "previouslyFormattedCitation" : "(Brookshire &amp; Kaza, 2013)" }, "properties" : {  }, "schema" : "https://github.com/citation-style-language/schema/raw/master/csl-citation.json" }</w:instrText>
      </w:r>
      <w:r w:rsidRPr="00262069">
        <w:rPr>
          <w:rFonts w:cs="B Lotus"/>
          <w:rtl/>
          <w:lang w:bidi="fa-IR"/>
        </w:rPr>
        <w:fldChar w:fldCharType="separate"/>
      </w:r>
      <w:r w:rsidRPr="00BB5C08">
        <w:rPr>
          <w:rFonts w:cs="B Lotus"/>
          <w:noProof/>
          <w:lang w:bidi="fa-IR"/>
        </w:rPr>
        <w:t>(Brookshire &amp; Kaza, 2013)</w:t>
      </w:r>
      <w:r w:rsidRPr="00262069">
        <w:rPr>
          <w:rFonts w:cs="B Lotus"/>
          <w:rtl/>
          <w:lang w:bidi="fa-IR"/>
        </w:rPr>
        <w:fldChar w:fldCharType="end"/>
      </w:r>
    </w:p>
    <w:p w14:paraId="08858DEF" w14:textId="77777777" w:rsidR="003D0138" w:rsidRDefault="003D0138" w:rsidP="002F0D7F">
      <w:pPr>
        <w:bidi/>
        <w:rPr>
          <w:rFonts w:cs="B Lotus"/>
        </w:rPr>
      </w:pPr>
      <w:r>
        <w:rPr>
          <w:rFonts w:cs="B Lotus" w:hint="cs"/>
          <w:rtl/>
        </w:rPr>
        <w:t xml:space="preserve">بریدجز و همکارانش </w:t>
      </w:r>
      <w:r w:rsidRPr="00262069">
        <w:rPr>
          <w:rFonts w:cs="B Lotus"/>
          <w:rtl/>
        </w:rPr>
        <w:t xml:space="preserve">بیان </w:t>
      </w:r>
      <w:r>
        <w:rPr>
          <w:rFonts w:cs="B Lotus" w:hint="cs"/>
          <w:rtl/>
        </w:rPr>
        <w:t>کرده</w:t>
      </w:r>
      <w:r>
        <w:rPr>
          <w:rFonts w:cs="B Lotus"/>
          <w:rtl/>
        </w:rPr>
        <w:softHyphen/>
      </w:r>
      <w:r>
        <w:rPr>
          <w:rFonts w:cs="B Lotus" w:hint="cs"/>
          <w:rtl/>
        </w:rPr>
        <w:t>اند</w:t>
      </w:r>
      <w:r w:rsidRPr="00262069">
        <w:rPr>
          <w:rFonts w:cs="B Lotus"/>
          <w:rtl/>
        </w:rPr>
        <w:t xml:space="preserve"> که هزینه های اثرات خارجی مانند تأثیرات بهداشتی تولید انرژی در قیمت های بازار منعکس نمی شود و در نتیجه اغلب در</w:t>
      </w:r>
      <w:r>
        <w:rPr>
          <w:rFonts w:cs="B Lotus" w:hint="cs"/>
          <w:rtl/>
        </w:rPr>
        <w:t xml:space="preserve"> طرح</w:t>
      </w:r>
      <w:r>
        <w:rPr>
          <w:rFonts w:cs="B Lotus"/>
          <w:rtl/>
        </w:rPr>
        <w:softHyphen/>
      </w:r>
      <w:r w:rsidRPr="00262069">
        <w:rPr>
          <w:rFonts w:cs="B Lotus"/>
          <w:rtl/>
        </w:rPr>
        <w:t xml:space="preserve"> ریزی انرژی استراتژیک مورد توجه قرار نمی گیرند. مدل های کارآمد و کم حجم که تخمین تاثیرات سلامت آلودگی هوا را از طریق تولید برق تولید می کنند، می تواند زمان و منابع مورد نیاز برای تحلیل گزینه های سیاست را کاهش دهد</w:t>
      </w:r>
      <w:r>
        <w:rPr>
          <w:rFonts w:cs="B Lotus" w:hint="cs"/>
          <w:rtl/>
        </w:rPr>
        <w:t>.</w:t>
      </w:r>
      <w:r w:rsidRPr="00262069">
        <w:rPr>
          <w:rFonts w:cs="B Lotus"/>
          <w:rtl/>
        </w:rPr>
        <w:t xml:space="preserve"> یکی از چالش هایی که با </w:t>
      </w:r>
      <w:r>
        <w:rPr>
          <w:rFonts w:cs="B Lotus" w:hint="cs"/>
          <w:rtl/>
        </w:rPr>
        <w:t>طرح</w:t>
      </w:r>
      <w:r>
        <w:rPr>
          <w:rFonts w:cs="B Lotus"/>
          <w:rtl/>
        </w:rPr>
        <w:softHyphen/>
      </w:r>
      <w:r w:rsidRPr="00262069">
        <w:rPr>
          <w:rFonts w:cs="B Lotus"/>
          <w:rtl/>
        </w:rPr>
        <w:t>ریزان انرژی مرتبط با کاهش انتشار گازهای گلخانه ای، به خصوص آنهای</w:t>
      </w:r>
      <w:r>
        <w:rPr>
          <w:rFonts w:cs="B Lotus"/>
          <w:rtl/>
        </w:rPr>
        <w:t>ی که از چارچوب مدل های یکپارچه</w:t>
      </w:r>
      <w:r w:rsidRPr="00262069">
        <w:rPr>
          <w:rFonts w:cs="B Lotus"/>
          <w:rtl/>
        </w:rPr>
        <w:t xml:space="preserve"> برای تجزیه و تحلیل استفاده می کنند، بستگی به عدم تعادل بین عدم اطمینان مدل های کم کیفیت هوا و نیاز به مدل سازی پیشرفته های فتوشیمیایی دارد که می تواند از لحاظ زمان و منابع فشرده منع مانده باشد</w:t>
      </w:r>
      <w:r w:rsidRPr="00262069">
        <w:rPr>
          <w:rFonts w:cs="B Lotus"/>
          <w:rtl/>
        </w:rPr>
        <w:fldChar w:fldCharType="begin" w:fldLock="1"/>
      </w:r>
      <w:r>
        <w:rPr>
          <w:rFonts w:cs="B Lotus"/>
        </w:rPr>
        <w:instrText>ADDIN CSL_CITATION { "citationItems" : [ { "id" : "ITEM-1", "itemData" : { "DOI" : "10.1016/j.erss.2014.12.002", "ISSN" : "22146296", "abstract" : "Costs of external effects such as health impacts of energy production are not reflected in market prices and as a result are often not taken into account during strategic energy planning. Computationally efficient, reduced-form models that estimate the health impact of air pollution from fossil fuel fired electricity generation can reduce the time and resources needed to analyze policy alternatives. Such models are currently being used for preliminary screening, retrospective studies, as well as in comprehensive multi-pollutant economy-wide approaches. One challenge faced by energy planners concerned with lowering emissions, particularly those using integrated multi-model frameworks for analysis, lies in the trade-off between the uncertainty associated with reduced-form air quality models and the need for sophisticated photochemical modeling that can be prohibitively time and resource intensive.", "author" : [ { "dropping-particle" : "", "family" : "Bridges", "given" : "Allison", "non-dropping-particle" : "", "parse-names" : false, "suffix" : "" }, { "dropping-particle" : "", "family" : "Felder", "given" : "Frank A.", "non-dropping-particle" : "", "parse-names" : false, "suffix" : "" }, { "dropping-particle" : "", "family" : "McKelvey", "given" : "Kathryn", "non-dropping-particle" : "", "parse-names" : false, "suffix" : "" }, { "dropping-particle" : "", "family" : "Niyogi", "given" : "Ishanie", "non-dropping-particle" : "", "parse-names" : false, "suffix" : "" } ], "container-title" : "Energy Research and Social Science", "id" : "ITEM-1", "issued" : { "date-parts" : [ [ "2015" ] ] }, "page" : "74-77", "publisher" : "Elsevier Ltd", "title" : "Uncertainty in energy planning: Estimating the health impacts of air pollution from fossil fuel electricity generation", "type" : "article-journal", "volume" : "6" }, "uris" : [ "http://www.mendeley.com/documents/?uuid=b7cf1b9e-eb3f-46d5-8009-594255aeb76c" ] } ], "mendeley" : { "formattedCitation" : "(Bridges, Felder, McKelvey, &amp; Niyogi, 2015)", "plainTextFormattedCitation" : "(Bridges, Felder, McKelvey, &amp; Niyogi, 2015)", "previouslyFormattedCitation" : "(Bridges, Felder, McKelvey, &amp; Niyogi, 2015)" }, "properties" : {  }, "schema" : "https://github.com/citation-style-language/schema/raw/master/csl-citation.json" }</w:instrText>
      </w:r>
      <w:r w:rsidRPr="00262069">
        <w:rPr>
          <w:rFonts w:cs="B Lotus"/>
          <w:rtl/>
        </w:rPr>
        <w:fldChar w:fldCharType="separate"/>
      </w:r>
      <w:r w:rsidRPr="00BB5C08">
        <w:rPr>
          <w:rFonts w:cs="B Lotus"/>
          <w:noProof/>
        </w:rPr>
        <w:t>(Bridges, Felder, McKelvey, &amp; Niyogi, 2015)</w:t>
      </w:r>
      <w:r w:rsidRPr="00262069">
        <w:rPr>
          <w:rFonts w:cs="B Lotus"/>
          <w:rtl/>
        </w:rPr>
        <w:fldChar w:fldCharType="end"/>
      </w:r>
      <w:r w:rsidRPr="00262069">
        <w:rPr>
          <w:rFonts w:cs="B Lotus"/>
          <w:rtl/>
        </w:rPr>
        <w:t>.</w:t>
      </w:r>
    </w:p>
    <w:p w14:paraId="06A2B357" w14:textId="77777777" w:rsidR="003D0138" w:rsidRPr="00262069" w:rsidRDefault="003D0138" w:rsidP="002F0D7F">
      <w:pPr>
        <w:bidi/>
        <w:rPr>
          <w:rFonts w:cs="B Lotus"/>
        </w:rPr>
      </w:pPr>
      <w:r>
        <w:rPr>
          <w:rFonts w:cs="B Lotus" w:hint="cs"/>
          <w:rtl/>
        </w:rPr>
        <w:t xml:space="preserve">گومز و همکارانش </w:t>
      </w:r>
      <w:r w:rsidRPr="00262069">
        <w:rPr>
          <w:rFonts w:cs="B Lotus"/>
          <w:rtl/>
        </w:rPr>
        <w:t xml:space="preserve">با ایجاد یک مدل </w:t>
      </w:r>
      <w:r w:rsidRPr="00262069">
        <w:rPr>
          <w:rFonts w:cs="B Lotus"/>
        </w:rPr>
        <w:t>LEAP</w:t>
      </w:r>
      <w:r w:rsidRPr="00262069">
        <w:rPr>
          <w:rFonts w:cs="B Lotus"/>
          <w:rtl/>
        </w:rPr>
        <w:t xml:space="preserve"> </w:t>
      </w:r>
      <w:r w:rsidRPr="00262069">
        <w:rPr>
          <w:rFonts w:cs="B Lotus" w:hint="cs"/>
          <w:rtl/>
        </w:rPr>
        <w:t xml:space="preserve">و ایجاد سه سناریو که می توانند هزینه های بحران اقتصادی را از هزینه های کمبود </w:t>
      </w:r>
      <w:r>
        <w:rPr>
          <w:rFonts w:cs="B Lotus" w:hint="cs"/>
          <w:rtl/>
        </w:rPr>
        <w:t>طرح</w:t>
      </w:r>
      <w:r>
        <w:rPr>
          <w:rFonts w:cs="B Lotus"/>
          <w:rtl/>
        </w:rPr>
        <w:softHyphen/>
      </w:r>
      <w:r w:rsidRPr="00262069">
        <w:rPr>
          <w:rFonts w:cs="B Lotus" w:hint="cs"/>
          <w:rtl/>
        </w:rPr>
        <w:t xml:space="preserve">ریزی جدا سازند، انجام دادند.آنها دریافتند که </w:t>
      </w:r>
      <w:r>
        <w:rPr>
          <w:rFonts w:cs="B Lotus" w:hint="cs"/>
          <w:rtl/>
        </w:rPr>
        <w:t>طرح</w:t>
      </w:r>
      <w:r>
        <w:rPr>
          <w:rFonts w:cs="B Lotus"/>
          <w:rtl/>
        </w:rPr>
        <w:softHyphen/>
      </w:r>
      <w:r w:rsidRPr="00262069">
        <w:rPr>
          <w:rFonts w:cs="B Lotus" w:hint="cs"/>
          <w:rtl/>
        </w:rPr>
        <w:t>ریزی مناسب انرژی می تواند سرمایه گذاری در بخش برق اسپانیا را تا سال 2010 با 28.6 میلیارد دلار کاهش دهد بدون آنکه پایداری و امنیت انرژی به خطر بیفتد و در عین حال بهبود قیمت گذاری نیز موثر باشد. علل اصلی این سرمایه گذاری مازاد دو حباب عرضه بود: سیکل های ترکیبی گاز و فناوری های خورشیدی</w:t>
      </w:r>
      <w:r w:rsidRPr="00262069">
        <w:rPr>
          <w:rFonts w:cs="B Lotus"/>
          <w:rtl/>
        </w:rPr>
        <w:fldChar w:fldCharType="begin" w:fldLock="1"/>
      </w:r>
      <w:r>
        <w:rPr>
          <w:rFonts w:cs="B Lotus"/>
        </w:rPr>
        <w:instrText>ADDIN CSL_CITATION { "citationItems" : [ { "id" : "ITEM-1", "itemData" : { "DOI" : "10.1016/j.energy.2016.02.004", "ISBN" : "0360-5442", "ISSN" : "03605442", "abstract" : "The Spanish power generation sector is facing dire problems: generation overcapacity, various tariff hikes over recent years, uncertainty over the financial viability of many power plants and a regulatory framework that lacks stability. This situation is the consequence of both poor energy policies and the economic crisis in the late 2000s and early 2010s. In this paper we analyze the following three points from an energy planning perspective: how the country has arrived at this situation; whether other alternatives would have been possible through adequate planning; and the quantitative benefits that would have been accrued from such planning. We do so by developing a LEAP model, and building three scenarios that allow to segregate the costs of the economic crisis from the costs of the lack of planning. We find that appropriate energy planning could have reduced investments in the Spanish power sector by 2010\u20ac28.6 billion without compromising on performance in terms of sustainability or energy security, while improving affordability. The main causes of these surplus investments were two supply bubbles: those of gas combined cycles and of solar technologies. The results of this work highlight the value of rigorous, quantitative energy planning, and the high costs of not doing it.", "author" : [ { "dropping-particle" : "", "family" : "G\u00f3mez", "given" : "Antonio", "non-dropping-particle" : "", "parse-names" : false, "suffix" : "" }, { "dropping-particle" : "", "family" : "Dopazo", "given" : "C\u00e9sar", "non-dropping-particle" : "", "parse-names" : false, "suffix" : "" }, { "dropping-particle" : "", "family" : "Fueyo", "given" : "Norberto", "non-dropping-particle" : "", "parse-names" : false, "suffix" : "" } ], "container-title" : "Energy", "id" : "ITEM-1", "issued" : { "date-parts" : [ [ "2016" ] ] }, "page" : "434-446", "title" : "The \"cost of not doing\" energy planning: The Spanish energy bubble", "type" : "article-journal", "volume" : "101" }, "uris" : [ "http://www.mendeley.com/documents/?uuid=d87a36ff-b29c-4de9-b7fa-5fe8507b4844" ] } ], "mendeley" : { "formattedCitation" : "(G\u00f3mez, Dopazo, &amp; Fueyo, 2016)", "plainTextFormattedCitation" : "(G\u00f3mez, Dopazo, &amp; Fueyo, 2016)", "previouslyFormattedCitation" : "(G\u00f3mez, Dopazo, &amp; Fueyo, 2016)" }, "properties" : {  }, "schema" : "https://github.com/citation-style-language/schema/raw/master/csl-citation.json" }</w:instrText>
      </w:r>
      <w:r w:rsidRPr="00262069">
        <w:rPr>
          <w:rFonts w:cs="B Lotus"/>
          <w:rtl/>
        </w:rPr>
        <w:fldChar w:fldCharType="separate"/>
      </w:r>
      <w:r w:rsidRPr="00BB5C08">
        <w:rPr>
          <w:rFonts w:cs="B Lotus"/>
          <w:noProof/>
        </w:rPr>
        <w:t>(Gómez, Dopazo, &amp; Fueyo, 2016)</w:t>
      </w:r>
      <w:r w:rsidRPr="00262069">
        <w:rPr>
          <w:rFonts w:cs="B Lotus"/>
          <w:rtl/>
        </w:rPr>
        <w:fldChar w:fldCharType="end"/>
      </w:r>
      <w:r>
        <w:rPr>
          <w:rFonts w:cs="B Lotus" w:hint="cs"/>
          <w:rtl/>
        </w:rPr>
        <w:t>.</w:t>
      </w:r>
    </w:p>
    <w:p w14:paraId="2AC6B5D9" w14:textId="77777777" w:rsidR="003D0138" w:rsidRDefault="003D0138" w:rsidP="002F0D7F">
      <w:pPr>
        <w:bidi/>
        <w:rPr>
          <w:rFonts w:cs="Arial"/>
        </w:rPr>
      </w:pPr>
    </w:p>
    <w:p w14:paraId="243B03E0" w14:textId="77777777" w:rsidR="003D0138" w:rsidRDefault="003D0138" w:rsidP="002F0D7F">
      <w:pPr>
        <w:bidi/>
        <w:rPr>
          <w:rFonts w:cs="B Lotus"/>
          <w:lang w:bidi="fa-IR"/>
        </w:rPr>
      </w:pPr>
      <w:r w:rsidRPr="00262069">
        <w:rPr>
          <w:rFonts w:cs="B Lotus"/>
          <w:rtl/>
        </w:rPr>
        <w:lastRenderedPageBreak/>
        <w:t xml:space="preserve">هدف این تحقیق شناسایی اهداف </w:t>
      </w:r>
      <w:r>
        <w:rPr>
          <w:rFonts w:cs="B Lotus" w:hint="cs"/>
          <w:rtl/>
          <w:lang w:bidi="fa-IR"/>
        </w:rPr>
        <w:t>طرح</w:t>
      </w:r>
      <w:r>
        <w:rPr>
          <w:rFonts w:cs="B Lotus"/>
          <w:rtl/>
          <w:lang w:bidi="fa-IR"/>
        </w:rPr>
        <w:softHyphen/>
      </w:r>
      <w:r>
        <w:rPr>
          <w:rFonts w:cs="B Lotus" w:hint="cs"/>
          <w:rtl/>
          <w:lang w:bidi="fa-IR"/>
        </w:rPr>
        <w:t>ریزی انرژی</w:t>
      </w:r>
      <w:r w:rsidRPr="00262069">
        <w:rPr>
          <w:rFonts w:cs="B Lotus"/>
          <w:rtl/>
        </w:rPr>
        <w:t xml:space="preserve"> </w:t>
      </w:r>
      <w:r w:rsidRPr="00262069">
        <w:rPr>
          <w:rFonts w:cs="B Lotus" w:hint="cs"/>
          <w:rtl/>
        </w:rPr>
        <w:t xml:space="preserve">مربوط به زمینه محلی کشورهای در حال توسعه، همراه با ویژگی های عملیاتی نسبی آنها و ساختن آنها در روش های تصمیم گیری چند منظوره شفاف برای </w:t>
      </w:r>
      <w:r>
        <w:rPr>
          <w:rFonts w:cs="B Lotus" w:hint="cs"/>
          <w:rtl/>
        </w:rPr>
        <w:t>طرح</w:t>
      </w:r>
      <w:r>
        <w:rPr>
          <w:rFonts w:cs="B Lotus"/>
          <w:rtl/>
        </w:rPr>
        <w:softHyphen/>
      </w:r>
      <w:r>
        <w:rPr>
          <w:rFonts w:cs="B Lotus" w:hint="cs"/>
          <w:rtl/>
        </w:rPr>
        <w:t>ریزی انرژی</w:t>
      </w:r>
      <w:r w:rsidRPr="00262069">
        <w:rPr>
          <w:rFonts w:cs="B Lotus"/>
          <w:rtl/>
        </w:rPr>
        <w:t xml:space="preserve"> </w:t>
      </w:r>
      <w:r w:rsidRPr="00262069">
        <w:rPr>
          <w:rFonts w:cs="B Lotus" w:hint="cs"/>
          <w:rtl/>
        </w:rPr>
        <w:t>در سطح ملی است. کشورهای عضو جامعه اقتصادی غرب آفریقا (</w:t>
      </w:r>
      <w:r w:rsidRPr="00262069">
        <w:rPr>
          <w:rFonts w:cs="B Lotus"/>
        </w:rPr>
        <w:t>ECOWAS</w:t>
      </w:r>
      <w:r w:rsidRPr="00262069">
        <w:rPr>
          <w:rFonts w:cs="B Lotus"/>
          <w:rtl/>
        </w:rPr>
        <w:t xml:space="preserve">) به عنوان یک منطقه </w:t>
      </w:r>
      <w:r>
        <w:rPr>
          <w:rFonts w:cs="B Lotus" w:hint="cs"/>
          <w:rtl/>
        </w:rPr>
        <w:t>مطالعاتی</w:t>
      </w:r>
      <w:r w:rsidRPr="00262069">
        <w:rPr>
          <w:rFonts w:cs="B Lotus"/>
          <w:rtl/>
        </w:rPr>
        <w:t xml:space="preserve"> مورد استفاده قرار گرفتند.</w:t>
      </w:r>
      <w:r w:rsidRPr="00F20DE7">
        <w:rPr>
          <w:rtl/>
        </w:rPr>
        <w:t xml:space="preserve"> </w:t>
      </w:r>
      <w:r w:rsidRPr="00F20DE7">
        <w:rPr>
          <w:rFonts w:cs="B Lotus"/>
          <w:rtl/>
        </w:rPr>
        <w:t xml:space="preserve">دو مورد اهداف </w:t>
      </w:r>
      <w:r>
        <w:rPr>
          <w:rFonts w:cs="B Lotus" w:hint="cs"/>
          <w:rtl/>
        </w:rPr>
        <w:t>طرح</w:t>
      </w:r>
      <w:r>
        <w:rPr>
          <w:rFonts w:cs="B Lotus"/>
          <w:rtl/>
        </w:rPr>
        <w:softHyphen/>
      </w:r>
      <w:r>
        <w:rPr>
          <w:rFonts w:cs="B Lotus" w:hint="cs"/>
          <w:rtl/>
        </w:rPr>
        <w:t>ریزی انرژی</w:t>
      </w:r>
      <w:r w:rsidRPr="00F20DE7">
        <w:rPr>
          <w:rFonts w:cs="B Lotus"/>
          <w:rtl/>
        </w:rPr>
        <w:t xml:space="preserve"> اختصاص</w:t>
      </w:r>
      <w:r w:rsidRPr="00F20DE7">
        <w:rPr>
          <w:rFonts w:cs="B Lotus" w:hint="cs"/>
          <w:rtl/>
        </w:rPr>
        <w:t>ی</w:t>
      </w:r>
      <w:r w:rsidRPr="00F20DE7">
        <w:rPr>
          <w:rFonts w:cs="B Lotus"/>
          <w:rtl/>
        </w:rPr>
        <w:t xml:space="preserve"> به زم</w:t>
      </w:r>
      <w:r w:rsidRPr="00F20DE7">
        <w:rPr>
          <w:rFonts w:cs="B Lotus" w:hint="cs"/>
          <w:rtl/>
        </w:rPr>
        <w:t>ی</w:t>
      </w:r>
      <w:r w:rsidRPr="00F20DE7">
        <w:rPr>
          <w:rFonts w:cs="B Lotus" w:hint="eastAsia"/>
          <w:rtl/>
        </w:rPr>
        <w:t>نه</w:t>
      </w:r>
      <w:r w:rsidRPr="00F20DE7">
        <w:rPr>
          <w:rFonts w:cs="B Lotus"/>
          <w:rtl/>
        </w:rPr>
        <w:t xml:space="preserve"> محل</w:t>
      </w:r>
      <w:r w:rsidRPr="00F20DE7">
        <w:rPr>
          <w:rFonts w:cs="B Lotus" w:hint="cs"/>
          <w:rtl/>
        </w:rPr>
        <w:t>ی</w:t>
      </w:r>
      <w:r w:rsidRPr="00F20DE7">
        <w:rPr>
          <w:rFonts w:cs="B Lotus"/>
          <w:rtl/>
        </w:rPr>
        <w:t xml:space="preserve"> است که ممکن است بر اجرا</w:t>
      </w:r>
      <w:r w:rsidRPr="00F20DE7">
        <w:rPr>
          <w:rFonts w:cs="B Lotus" w:hint="cs"/>
          <w:rtl/>
        </w:rPr>
        <w:t>ی</w:t>
      </w:r>
      <w:r w:rsidRPr="00F20DE7">
        <w:rPr>
          <w:rFonts w:cs="B Lotus"/>
          <w:rtl/>
        </w:rPr>
        <w:t xml:space="preserve"> موفق</w:t>
      </w:r>
      <w:r w:rsidRPr="00F20DE7">
        <w:rPr>
          <w:rFonts w:cs="B Lotus" w:hint="cs"/>
          <w:rtl/>
        </w:rPr>
        <w:t>ی</w:t>
      </w:r>
      <w:r w:rsidRPr="00F20DE7">
        <w:rPr>
          <w:rFonts w:cs="B Lotus" w:hint="eastAsia"/>
          <w:rtl/>
        </w:rPr>
        <w:t>ت</w:t>
      </w:r>
      <w:r w:rsidRPr="00F20DE7">
        <w:rPr>
          <w:rFonts w:cs="B Lotus"/>
          <w:rtl/>
        </w:rPr>
        <w:t xml:space="preserve"> آم</w:t>
      </w:r>
      <w:r w:rsidRPr="00F20DE7">
        <w:rPr>
          <w:rFonts w:cs="B Lotus" w:hint="cs"/>
          <w:rtl/>
        </w:rPr>
        <w:t>ی</w:t>
      </w:r>
      <w:r w:rsidRPr="00F20DE7">
        <w:rPr>
          <w:rFonts w:cs="B Lotus" w:hint="eastAsia"/>
          <w:rtl/>
        </w:rPr>
        <w:t>ز</w:t>
      </w:r>
      <w:r w:rsidRPr="00F20DE7">
        <w:rPr>
          <w:rFonts w:cs="B Lotus"/>
          <w:rtl/>
        </w:rPr>
        <w:t xml:space="preserve"> </w:t>
      </w:r>
      <w:r>
        <w:rPr>
          <w:rFonts w:cs="B Lotus" w:hint="cs"/>
          <w:rtl/>
        </w:rPr>
        <w:t>طرح</w:t>
      </w:r>
      <w:r>
        <w:rPr>
          <w:rFonts w:cs="B Lotus"/>
          <w:rtl/>
        </w:rPr>
        <w:softHyphen/>
      </w:r>
      <w:r w:rsidRPr="00F20DE7">
        <w:rPr>
          <w:rFonts w:cs="B Lotus"/>
          <w:rtl/>
        </w:rPr>
        <w:t>ها</w:t>
      </w:r>
      <w:r w:rsidRPr="00F20DE7">
        <w:rPr>
          <w:rFonts w:cs="B Lotus" w:hint="cs"/>
          <w:rtl/>
        </w:rPr>
        <w:t>ی</w:t>
      </w:r>
      <w:r w:rsidRPr="00F20DE7">
        <w:rPr>
          <w:rFonts w:cs="B Lotus"/>
          <w:rtl/>
        </w:rPr>
        <w:t xml:space="preserve"> انرژ</w:t>
      </w:r>
      <w:r w:rsidRPr="00F20DE7">
        <w:rPr>
          <w:rFonts w:cs="B Lotus" w:hint="cs"/>
          <w:rtl/>
        </w:rPr>
        <w:t>ی</w:t>
      </w:r>
      <w:r w:rsidRPr="00F20DE7">
        <w:rPr>
          <w:rFonts w:cs="B Lotus"/>
          <w:rtl/>
        </w:rPr>
        <w:t xml:space="preserve"> در زم</w:t>
      </w:r>
      <w:r w:rsidRPr="00F20DE7">
        <w:rPr>
          <w:rFonts w:cs="B Lotus" w:hint="cs"/>
          <w:rtl/>
        </w:rPr>
        <w:t>ی</w:t>
      </w:r>
      <w:r w:rsidRPr="00F20DE7">
        <w:rPr>
          <w:rFonts w:cs="B Lotus" w:hint="eastAsia"/>
          <w:rtl/>
        </w:rPr>
        <w:t>نه</w:t>
      </w:r>
      <w:r w:rsidRPr="00F20DE7">
        <w:rPr>
          <w:rFonts w:cs="B Lotus"/>
          <w:rtl/>
        </w:rPr>
        <w:t xml:space="preserve"> </w:t>
      </w:r>
      <w:r w:rsidRPr="00F20DE7">
        <w:rPr>
          <w:rFonts w:cs="B Lotus"/>
        </w:rPr>
        <w:t>ECOWAS</w:t>
      </w:r>
      <w:r w:rsidRPr="00F20DE7">
        <w:rPr>
          <w:rFonts w:cs="B Lotus"/>
          <w:rtl/>
        </w:rPr>
        <w:t xml:space="preserve"> تأث</w:t>
      </w:r>
      <w:r w:rsidRPr="00F20DE7">
        <w:rPr>
          <w:rFonts w:cs="B Lotus" w:hint="cs"/>
          <w:rtl/>
        </w:rPr>
        <w:t>ی</w:t>
      </w:r>
      <w:r w:rsidRPr="00F20DE7">
        <w:rPr>
          <w:rFonts w:cs="B Lotus" w:hint="eastAsia"/>
          <w:rtl/>
        </w:rPr>
        <w:t>ر</w:t>
      </w:r>
      <w:r w:rsidRPr="00F20DE7">
        <w:rPr>
          <w:rFonts w:cs="B Lotus"/>
          <w:rtl/>
        </w:rPr>
        <w:t xml:space="preserve"> بگذارد. </w:t>
      </w:r>
      <w:r w:rsidRPr="008E5E40">
        <w:rPr>
          <w:rFonts w:cs="B Lotus"/>
          <w:rtl/>
        </w:rPr>
        <w:t>(1) به حداکثر رساندن نگهدار</w:t>
      </w:r>
      <w:r w:rsidRPr="008E5E40">
        <w:rPr>
          <w:rFonts w:cs="B Lotus" w:hint="cs"/>
          <w:rtl/>
        </w:rPr>
        <w:t>ی</w:t>
      </w:r>
      <w:r w:rsidRPr="008E5E40">
        <w:rPr>
          <w:rFonts w:cs="B Lotus"/>
          <w:rtl/>
        </w:rPr>
        <w:t xml:space="preserve"> از س</w:t>
      </w:r>
      <w:r w:rsidRPr="008E5E40">
        <w:rPr>
          <w:rFonts w:cs="B Lotus" w:hint="cs"/>
          <w:rtl/>
        </w:rPr>
        <w:t>ی</w:t>
      </w:r>
      <w:r w:rsidRPr="008E5E40">
        <w:rPr>
          <w:rFonts w:cs="B Lotus" w:hint="eastAsia"/>
          <w:rtl/>
        </w:rPr>
        <w:t>ستم</w:t>
      </w:r>
      <w:r w:rsidRPr="008E5E40">
        <w:rPr>
          <w:rFonts w:cs="B Lotus"/>
          <w:rtl/>
        </w:rPr>
        <w:t xml:space="preserve"> عرضه </w:t>
      </w:r>
      <w:r w:rsidRPr="008E5E40">
        <w:rPr>
          <w:rFonts w:cs="B Lotus"/>
        </w:rPr>
        <w:t>FE</w:t>
      </w:r>
      <w:r>
        <w:rPr>
          <w:rFonts w:cs="B Lotus" w:hint="cs"/>
          <w:rtl/>
          <w:lang w:bidi="fa-IR"/>
        </w:rPr>
        <w:t>(انرژی نهایی)</w:t>
      </w:r>
      <w:r w:rsidRPr="008E5E40">
        <w:rPr>
          <w:rFonts w:cs="B Lotus"/>
          <w:rtl/>
        </w:rPr>
        <w:t>، و (2) به حداکثر رساندن دسترس</w:t>
      </w:r>
      <w:r w:rsidRPr="008E5E40">
        <w:rPr>
          <w:rFonts w:cs="B Lotus" w:hint="cs"/>
          <w:rtl/>
        </w:rPr>
        <w:t>ی</w:t>
      </w:r>
      <w:r w:rsidRPr="008E5E40">
        <w:rPr>
          <w:rFonts w:cs="B Lotus"/>
          <w:rtl/>
        </w:rPr>
        <w:t xml:space="preserve"> به خدمات </w:t>
      </w:r>
      <w:r w:rsidRPr="008E5E40">
        <w:rPr>
          <w:rFonts w:cs="B Lotus"/>
        </w:rPr>
        <w:t>FE</w:t>
      </w:r>
      <w:r w:rsidRPr="008E5E40">
        <w:rPr>
          <w:rFonts w:cs="B Lotus"/>
          <w:rtl/>
        </w:rPr>
        <w:t xml:space="preserve"> (انرژ</w:t>
      </w:r>
      <w:r w:rsidRPr="008E5E40">
        <w:rPr>
          <w:rFonts w:cs="B Lotus" w:hint="cs"/>
          <w:rtl/>
        </w:rPr>
        <w:t>ی</w:t>
      </w:r>
      <w:r>
        <w:rPr>
          <w:rFonts w:cs="B Lotus"/>
          <w:rtl/>
        </w:rPr>
        <w:t xml:space="preserve"> مدرن)</w:t>
      </w:r>
      <w:r w:rsidRPr="00262069">
        <w:rPr>
          <w:rFonts w:cs="B Lotus"/>
          <w:rtl/>
        </w:rPr>
        <w:fldChar w:fldCharType="begin" w:fldLock="1"/>
      </w:r>
      <w:r>
        <w:rPr>
          <w:rFonts w:cs="B Lotus"/>
        </w:rPr>
        <w:instrText>ADDIN CSL_CITATION { "citationItems" : [ { "id" : "ITEM-1", "itemData" : { "author" : [ { "dropping-particle" : "", "family" : "Lee", "given" : "Nathan Coenen", "non-dropping-particle" : "", "parse-names" : false, "suffix" : "" } ], "id" : "ITEM-1", "issue" : "August", "issued" : { "date-parts" : [ [ "2016" ] ] }, "title" : "Decision support methodology for national energy planning in developing countries: An implementation focused approach", "type" : "article-journal" }, "uris" : [ "http://www.mendeley.com/documents/?uuid=54869974-0683-4156-b763-cc90825d2ff9" ] } ], "mendeley" : { "formattedCitation" : "(Lee, 2016)", "plainTextFormattedCitation" : "(Lee, 2016)", "previouslyFormattedCitation" : "(Lee, 2016)" }, "properties" : {  }, "schema" : "https://github.com/citation-style-language/schema/raw/master/csl-citation.json" }</w:instrText>
      </w:r>
      <w:r w:rsidRPr="00262069">
        <w:rPr>
          <w:rFonts w:cs="B Lotus"/>
          <w:rtl/>
        </w:rPr>
        <w:fldChar w:fldCharType="separate"/>
      </w:r>
      <w:r w:rsidRPr="00BB5C08">
        <w:rPr>
          <w:rFonts w:cs="B Lotus"/>
          <w:noProof/>
        </w:rPr>
        <w:t>(Lee, 2016)</w:t>
      </w:r>
      <w:r w:rsidRPr="00262069">
        <w:rPr>
          <w:rFonts w:cs="B Lotus"/>
          <w:rtl/>
        </w:rPr>
        <w:fldChar w:fldCharType="end"/>
      </w:r>
      <w:r w:rsidRPr="00262069">
        <w:rPr>
          <w:rFonts w:cs="B Lotus"/>
          <w:rtl/>
        </w:rPr>
        <w:t>.</w:t>
      </w:r>
      <w:r>
        <w:rPr>
          <w:rFonts w:cs="B Lotus" w:hint="cs"/>
          <w:rtl/>
          <w:lang w:bidi="fa-IR"/>
        </w:rPr>
        <w:t xml:space="preserve"> </w:t>
      </w:r>
    </w:p>
    <w:p w14:paraId="07106B24" w14:textId="77777777" w:rsidR="003D0138" w:rsidRDefault="003D0138" w:rsidP="002F0D7F">
      <w:pPr>
        <w:bidi/>
        <w:rPr>
          <w:rFonts w:cs="B Lotus"/>
        </w:rPr>
      </w:pPr>
      <w:r>
        <w:rPr>
          <w:rFonts w:cs="B Lotus" w:hint="cs"/>
          <w:rtl/>
          <w:lang w:bidi="fa-IR"/>
        </w:rPr>
        <w:t xml:space="preserve">روکزاس و سانتیاگو </w:t>
      </w:r>
      <w:r w:rsidRPr="00262069">
        <w:rPr>
          <w:rFonts w:cs="B Lotus"/>
          <w:rtl/>
        </w:rPr>
        <w:t xml:space="preserve">وضعیت فعلی </w:t>
      </w:r>
      <w:r>
        <w:rPr>
          <w:rFonts w:cs="B Lotus" w:hint="cs"/>
          <w:rtl/>
        </w:rPr>
        <w:t>انرژی تجدیدپذیر</w:t>
      </w:r>
      <w:r w:rsidRPr="00262069">
        <w:rPr>
          <w:rFonts w:cs="B Lotus"/>
          <w:rtl/>
        </w:rPr>
        <w:t xml:space="preserve"> </w:t>
      </w:r>
      <w:r w:rsidRPr="00262069">
        <w:rPr>
          <w:rFonts w:cs="B Lotus" w:hint="cs"/>
          <w:rtl/>
        </w:rPr>
        <w:t xml:space="preserve">در فیلیپین را بررسی </w:t>
      </w:r>
      <w:r>
        <w:rPr>
          <w:rFonts w:cs="B Lotus" w:hint="cs"/>
          <w:rtl/>
        </w:rPr>
        <w:t>کرده</w:t>
      </w:r>
      <w:r>
        <w:rPr>
          <w:rFonts w:cs="B Lotus"/>
          <w:rtl/>
        </w:rPr>
        <w:softHyphen/>
      </w:r>
      <w:r>
        <w:rPr>
          <w:rFonts w:cs="B Lotus" w:hint="cs"/>
          <w:rtl/>
        </w:rPr>
        <w:t>اند</w:t>
      </w:r>
      <w:r w:rsidRPr="00262069">
        <w:rPr>
          <w:rFonts w:cs="B Lotus" w:hint="cs"/>
          <w:rtl/>
        </w:rPr>
        <w:t xml:space="preserve"> و پارادایم </w:t>
      </w:r>
      <w:r>
        <w:rPr>
          <w:rFonts w:cs="B Lotus" w:hint="cs"/>
          <w:rtl/>
        </w:rPr>
        <w:t>طرح</w:t>
      </w:r>
      <w:r>
        <w:rPr>
          <w:rFonts w:cs="B Lotus"/>
          <w:rtl/>
        </w:rPr>
        <w:softHyphen/>
      </w:r>
      <w:r w:rsidRPr="00262069">
        <w:rPr>
          <w:rFonts w:cs="B Lotus" w:hint="cs"/>
          <w:rtl/>
        </w:rPr>
        <w:t xml:space="preserve">ریزی جایگزین ساده ای را ارائه </w:t>
      </w:r>
      <w:r>
        <w:rPr>
          <w:rFonts w:cs="B Lotus" w:hint="cs"/>
          <w:rtl/>
        </w:rPr>
        <w:t>داده</w:t>
      </w:r>
      <w:r>
        <w:rPr>
          <w:rFonts w:cs="B Lotus"/>
          <w:rtl/>
        </w:rPr>
        <w:softHyphen/>
      </w:r>
      <w:r>
        <w:rPr>
          <w:rFonts w:cs="B Lotus" w:hint="cs"/>
          <w:rtl/>
        </w:rPr>
        <w:t>اند</w:t>
      </w:r>
      <w:r w:rsidRPr="00262069">
        <w:rPr>
          <w:rFonts w:cs="B Lotus" w:hint="cs"/>
          <w:rtl/>
        </w:rPr>
        <w:t xml:space="preserve"> که در آن توانایی فن آوری </w:t>
      </w:r>
      <w:r w:rsidRPr="00262069">
        <w:rPr>
          <w:rFonts w:cs="B Lotus"/>
        </w:rPr>
        <w:t>RE</w:t>
      </w:r>
      <w:r w:rsidRPr="00262069">
        <w:rPr>
          <w:rFonts w:cs="B Lotus"/>
          <w:rtl/>
        </w:rPr>
        <w:t xml:space="preserve"> </w:t>
      </w:r>
      <w:r w:rsidRPr="00262069">
        <w:rPr>
          <w:rFonts w:cs="B Lotus" w:hint="cs"/>
          <w:rtl/>
        </w:rPr>
        <w:t xml:space="preserve">برای تأثیر معیشت ساکنین و اثربخشی تحویل انرژی آن به منظور تشخیص ابزارهای مختلف فن آوری های </w:t>
      </w:r>
      <w:r w:rsidRPr="00262069">
        <w:rPr>
          <w:rFonts w:cs="B Lotus"/>
        </w:rPr>
        <w:t>RE</w:t>
      </w:r>
      <w:r w:rsidRPr="00262069">
        <w:rPr>
          <w:rFonts w:cs="B Lotus"/>
          <w:rtl/>
        </w:rPr>
        <w:t xml:space="preserve"> </w:t>
      </w:r>
      <w:r w:rsidRPr="00262069">
        <w:rPr>
          <w:rFonts w:cs="B Lotus" w:hint="cs"/>
          <w:rtl/>
        </w:rPr>
        <w:t xml:space="preserve">در شبکه های </w:t>
      </w:r>
      <w:r>
        <w:rPr>
          <w:rFonts w:cs="B Lotus" w:hint="cs"/>
          <w:rtl/>
        </w:rPr>
        <w:t>مستقل</w:t>
      </w:r>
      <w:r w:rsidRPr="00262069">
        <w:rPr>
          <w:rFonts w:cs="B Lotus" w:hint="cs"/>
          <w:rtl/>
        </w:rPr>
        <w:t xml:space="preserve"> </w:t>
      </w:r>
      <w:r>
        <w:rPr>
          <w:rFonts w:cs="B Lotus" w:hint="cs"/>
          <w:rtl/>
        </w:rPr>
        <w:t xml:space="preserve">و </w:t>
      </w:r>
      <w:r w:rsidRPr="00262069">
        <w:rPr>
          <w:rFonts w:cs="B Lotus" w:hint="cs"/>
          <w:rtl/>
        </w:rPr>
        <w:t xml:space="preserve">متصل به شبکه </w:t>
      </w:r>
      <w:r>
        <w:rPr>
          <w:rFonts w:cs="B Lotus" w:hint="cs"/>
          <w:rtl/>
        </w:rPr>
        <w:t>سراسری.</w:t>
      </w:r>
      <w:r w:rsidRPr="00262069">
        <w:rPr>
          <w:rFonts w:cs="B Lotus"/>
          <w:rtl/>
        </w:rPr>
        <w:t xml:space="preserve"> بحث در مورد این موضوع برای خواننده امیدوار کننده است که </w:t>
      </w:r>
      <w:r w:rsidRPr="00262069">
        <w:rPr>
          <w:rFonts w:cs="B Lotus"/>
          <w:rtl/>
          <w:lang w:bidi="fa-IR"/>
        </w:rPr>
        <w:t>در</w:t>
      </w:r>
      <w:r w:rsidRPr="00262069">
        <w:rPr>
          <w:rFonts w:cs="B Lotus"/>
          <w:rtl/>
        </w:rPr>
        <w:t xml:space="preserve"> تمام</w:t>
      </w:r>
      <w:r w:rsidRPr="00262069">
        <w:rPr>
          <w:rFonts w:cs="B Lotus"/>
          <w:rtl/>
          <w:lang w:bidi="fa-IR"/>
        </w:rPr>
        <w:t xml:space="preserve"> </w:t>
      </w:r>
      <w:r w:rsidRPr="00262069">
        <w:rPr>
          <w:rFonts w:cs="B Lotus"/>
        </w:rPr>
        <w:t>RE</w:t>
      </w:r>
      <w:r w:rsidRPr="00262069">
        <w:rPr>
          <w:rFonts w:cs="B Lotus"/>
          <w:rtl/>
        </w:rPr>
        <w:t xml:space="preserve"> ها مگا وات برابر با یکدیگر ایجاد نمی شوند. دولت فیلیپین به شدت پیگیری </w:t>
      </w:r>
      <w:r w:rsidRPr="00262069">
        <w:rPr>
          <w:rFonts w:cs="B Lotus"/>
        </w:rPr>
        <w:t>RE</w:t>
      </w:r>
      <w:r w:rsidRPr="00262069">
        <w:rPr>
          <w:rFonts w:cs="B Lotus"/>
          <w:rtl/>
        </w:rPr>
        <w:t xml:space="preserve"> </w:t>
      </w:r>
      <w:r w:rsidRPr="00262069">
        <w:rPr>
          <w:rFonts w:cs="B Lotus" w:hint="cs"/>
          <w:rtl/>
        </w:rPr>
        <w:t xml:space="preserve">را انجام داده و به طور چشمگیری موفق شده است. با این حال، </w:t>
      </w:r>
      <w:r w:rsidRPr="00262069">
        <w:rPr>
          <w:rFonts w:cs="B Lotus"/>
        </w:rPr>
        <w:t>RE</w:t>
      </w:r>
      <w:r w:rsidRPr="00262069">
        <w:rPr>
          <w:rFonts w:cs="B Lotus"/>
          <w:rtl/>
        </w:rPr>
        <w:t xml:space="preserve"> </w:t>
      </w:r>
      <w:r>
        <w:rPr>
          <w:rFonts w:cs="B Lotus" w:hint="cs"/>
          <w:rtl/>
        </w:rPr>
        <w:t>را می توان با استراتژی</w:t>
      </w:r>
      <w:r w:rsidRPr="00262069">
        <w:rPr>
          <w:rFonts w:cs="B Lotus" w:hint="cs"/>
          <w:rtl/>
        </w:rPr>
        <w:t xml:space="preserve"> بیشتری برای ترویج نتایج اجتماعی مطابقت با هدف جهانی در جهت کاهش سطح فقر در مناطق روستایی مورد استفاده قرار داد. علاوه بر این، اگر مگاوات تنها مورد توجه قرار بگیرد، پروژه های 27.5 کیلو واتی مانند آن در جزیره سبز هرگز نمیتوانند به ثمر برسند</w:t>
      </w:r>
      <w:r w:rsidRPr="00262069">
        <w:rPr>
          <w:rFonts w:cs="B Lotus"/>
          <w:rtl/>
        </w:rPr>
        <w:fldChar w:fldCharType="begin" w:fldLock="1"/>
      </w:r>
      <w:r>
        <w:rPr>
          <w:rFonts w:cs="B Lotus"/>
        </w:rPr>
        <w:instrText>ADDIN CSL_CITATION { "citationItems" : [ { "id" : "ITEM-1", "itemData" : { "DOI" : "10.1016/j.rser.2016.01.084", "ISSN" : "18790690", "abstract" : "Like many countries striving to be responsible consumers of energy and conscious of the need to mitigate the impact of climate change, the Philippines has, in both policy and practice, shown a bias towards Renewable Energy (RE) sources. The countrys proportion of RE production in primary energy and distribution in electricity is significantly higher than those of many Asian and European countries. However, the Philippine National RE Program has adopted a strategy of aggressively amassing RE capacity to the extent of tripling the capacity over the period 2011 to 2030. The preoccupation with more megawatts rather than the value of RE beyond clean energy has erected a bias against off-grid RE applications. Off-grid RE applications can displace more expensive diesel generation and can enhance the livelihood opportunities for communities. The insistence on focusing on megawatts is threatening to bloat the current Feed-in-Tariff structure by causing large, grid-connected applications to be seriously oversubscribed. This paper reviews the current RE status in the Philippines and presents a simple alternative planning paradigm in which the ability of RE technology to affect the livelihood of the residents and the effectiveness of its energy delivery are used to distinguish the utility of different RE technologies in off-grid and grid-connected areas. The authors also describe an actual kW scale, off-grid application that addresses both energy and economic poverty.", "author" : [ { "dropping-particle" : "", "family" : "Roxas", "given" : "Fernando", "non-dropping-particle" : "", "parse-names" : false, "suffix" : "" }, { "dropping-particle" : "", "family" : "Santiago", "given" : "Andrea", "non-dropping-particle" : "", "parse-names" : false, "suffix" : "" } ], "container-title" : "Renewable and Sustainable Energy Reviews", "id" : "ITEM-1", "issued" : { "date-parts" : [ [ "2016" ] ] }, "page" : "1396-1404", "publisher" : "Elsevier", "title" : "Alternative framework for renewable energy planning in the Philippines", "type" : "article-journal", "volume" : "59" }, "uris" : [ "http://www.mendeley.com/documents/?uuid=164d57fc-a947-46d9-824e-b7cec94ce849" ] } ], "mendeley" : { "formattedCitation" : "(Roxas &amp; Santiago, 2016)", "plainTextFormattedCitation" : "(Roxas &amp; Santiago, 2016)", "previouslyFormattedCitation" : "(Roxas &amp; Santiago, 2016)" }, "properties" : {  }, "schema" : "https://github.com/citation-style-language/schema/raw/master/csl-citation.json" }</w:instrText>
      </w:r>
      <w:r w:rsidRPr="00262069">
        <w:rPr>
          <w:rFonts w:cs="B Lotus"/>
          <w:rtl/>
        </w:rPr>
        <w:fldChar w:fldCharType="separate"/>
      </w:r>
      <w:r w:rsidRPr="00BB5C08">
        <w:rPr>
          <w:rFonts w:cs="B Lotus"/>
          <w:noProof/>
        </w:rPr>
        <w:t>(Roxas &amp; Santiago, 2016)</w:t>
      </w:r>
      <w:r w:rsidRPr="00262069">
        <w:rPr>
          <w:rFonts w:cs="B Lotus"/>
          <w:rtl/>
        </w:rPr>
        <w:fldChar w:fldCharType="end"/>
      </w:r>
      <w:r w:rsidRPr="00262069">
        <w:rPr>
          <w:rFonts w:cs="B Lotus" w:hint="cs"/>
          <w:rtl/>
        </w:rPr>
        <w:t>.</w:t>
      </w:r>
    </w:p>
    <w:p w14:paraId="1BEAF17D" w14:textId="77777777" w:rsidR="003D0138" w:rsidRDefault="003D0138" w:rsidP="002F0D7F">
      <w:pPr>
        <w:bidi/>
        <w:rPr>
          <w:rFonts w:cs="B Lotus"/>
          <w:lang w:bidi="fa-IR"/>
        </w:rPr>
      </w:pPr>
      <w:r>
        <w:rPr>
          <w:rFonts w:cs="B Lotus" w:hint="cs"/>
          <w:rtl/>
        </w:rPr>
        <w:t xml:space="preserve">کاژوت  و همکارانش </w:t>
      </w:r>
      <w:r w:rsidRPr="00262069">
        <w:rPr>
          <w:rFonts w:cs="B Lotus"/>
          <w:rtl/>
        </w:rPr>
        <w:t xml:space="preserve">پس از بررسی الزامات و اهداف جدید </w:t>
      </w:r>
      <w:r>
        <w:rPr>
          <w:rFonts w:cs="B Lotus" w:hint="cs"/>
          <w:rtl/>
        </w:rPr>
        <w:t>طرح</w:t>
      </w:r>
      <w:r>
        <w:rPr>
          <w:rFonts w:cs="B Lotus"/>
          <w:rtl/>
        </w:rPr>
        <w:softHyphen/>
      </w:r>
      <w:r w:rsidRPr="00262069">
        <w:rPr>
          <w:rFonts w:cs="B Lotus"/>
          <w:rtl/>
        </w:rPr>
        <w:t>ریزی شهری و ارتباط آن با مسائل انرژی، یک چارچوب سیستماتیک برای تجزیه و تحلیل مسائل مورد نظر ارا</w:t>
      </w:r>
      <w:r>
        <w:rPr>
          <w:rFonts w:cs="B Lotus"/>
          <w:rtl/>
        </w:rPr>
        <w:t>ئه شده است</w:t>
      </w:r>
      <w:r>
        <w:rPr>
          <w:rFonts w:cs="B Lotus" w:hint="cs"/>
          <w:rtl/>
        </w:rPr>
        <w:t>.</w:t>
      </w:r>
      <w:r w:rsidRPr="00262069">
        <w:rPr>
          <w:rFonts w:cs="B Lotus"/>
          <w:rtl/>
        </w:rPr>
        <w:t xml:space="preserve"> این رویکرد در یک مطالعه موردی در سوئیس مورد استفاده قرار می گیرد و چالش ه</w:t>
      </w:r>
      <w:r>
        <w:rPr>
          <w:rFonts w:cs="B Lotus"/>
          <w:rtl/>
        </w:rPr>
        <w:t xml:space="preserve">ای مختلف و راه حل های مربوط به </w:t>
      </w:r>
      <w:r>
        <w:rPr>
          <w:rFonts w:cs="B Lotus" w:hint="cs"/>
          <w:rtl/>
        </w:rPr>
        <w:t>طرح</w:t>
      </w:r>
      <w:r>
        <w:rPr>
          <w:rFonts w:cs="B Lotus"/>
          <w:rtl/>
        </w:rPr>
        <w:softHyphen/>
      </w:r>
      <w:r w:rsidRPr="00262069">
        <w:rPr>
          <w:rFonts w:cs="B Lotus"/>
          <w:rtl/>
        </w:rPr>
        <w:t>ریزی انرژی که در یک پروژه توسعه شهری دیده می شود، تهیه شده است</w:t>
      </w:r>
      <w:r w:rsidRPr="00262069">
        <w:rPr>
          <w:rFonts w:cs="B Lotus"/>
          <w:rtl/>
        </w:rPr>
        <w:fldChar w:fldCharType="begin" w:fldLock="1"/>
      </w:r>
      <w:r>
        <w:rPr>
          <w:rFonts w:cs="B Lotus"/>
        </w:rPr>
        <w:instrText>ADDIN CSL_CITATION { "citationItems" : [ { "id" : "ITEM-1", "itemData" : { "DOI" : "10.1016/j.scs.2017.02.003", "ISSN" : "22106707", "abstract" : "Cities are expected to play a key role in achieving the ambitious energy targets set by the European Union. By looking at opportunities beyond the single building scale, urban planners can significantly contribute to shape energy-efficient and low-carbon cities. However, the complexity involved in such a broad task impedes the realization of any simple solution. This paper aims to make clear the many interrelated challenges and obstacles which hinder efficient urban energy planning. After reviewing the new requirements and goals of urban planning and its links with energy issues, a systematic framework to analyze the issues at stake is presented. The importance of such a structured and comprehensive definition and understanding of the problem is discussed, arguing that it is a necessary step to improve and develop adapted solutions which embrace the entirety of the problem. The approach is applied to a case-study in Switzerland, mapping out the different challenges and corresponding solutions related to energy planning encountered in an urban development project.", "author" : [ { "dropping-particle" : "", "family" : "Cajot", "given" : "S.", "non-dropping-particle" : "", "parse-names" : false, "suffix" : "" }, { "dropping-particle" : "", "family" : "Peter", "given" : "M.", "non-dropping-particle" : "", "parse-names" : false, "suffix" : "" }, { "dropping-particle" : "", "family" : "Bahu", "given" : "J.-M.", "non-dropping-particle" : "", "parse-names" : false, "suffix" : "" }, { "dropping-particle" : "", "family" : "Guignet", "given" : "F.", "non-dropping-particle" : "", "parse-names" : false, "suffix" : "" }, { "dropping-particle" : "", "family" : "Koch", "given" : "A.", "non-dropping-particle" : "", "parse-names" : false, "suffix" : "" }, { "dropping-particle" : "", "family" : "Mar\u00e9chal", "given" : "F.", "non-dropping-particle" : "", "parse-names" : false, "suffix" : "" } ], "container-title" : "Sustainable Cities and Society", "id" : "ITEM-1", "issued" : { "date-parts" : [ [ "2017" ] ] }, "page" : "223-236", "publisher" : "Elsevier B.V.", "title" : "Obstacles in energy planning at the urban scale", "type" : "article-journal", "volume" : "30" }, "uris" : [ "http://www.mendeley.com/documents/?uuid=9dd14cab-95ee-486c-bae1-d6742a90de33" ] } ], "mendeley" : { "formattedCitation" : "(Cajot et al., 2017)", "plainTextFormattedCitation" : "(Cajot et al., 2017)", "previouslyFormattedCitation" : "(Cajot et al., 2017)" }, "properties" : {  }, "schema" : "https://github.com/citation-style-language/schema/raw/master/csl-citation.json" }</w:instrText>
      </w:r>
      <w:r w:rsidRPr="00262069">
        <w:rPr>
          <w:rFonts w:cs="B Lotus"/>
          <w:rtl/>
        </w:rPr>
        <w:fldChar w:fldCharType="separate"/>
      </w:r>
      <w:r w:rsidRPr="00BB5C08">
        <w:rPr>
          <w:rFonts w:cs="B Lotus"/>
          <w:noProof/>
        </w:rPr>
        <w:t>(Cajot et al., 2017)</w:t>
      </w:r>
      <w:r w:rsidRPr="00262069">
        <w:rPr>
          <w:rFonts w:cs="B Lotus"/>
          <w:rtl/>
        </w:rPr>
        <w:fldChar w:fldCharType="end"/>
      </w:r>
      <w:r>
        <w:rPr>
          <w:rFonts w:cs="B Lotus" w:hint="cs"/>
          <w:rtl/>
          <w:lang w:bidi="fa-IR"/>
        </w:rPr>
        <w:t>.</w:t>
      </w:r>
    </w:p>
    <w:p w14:paraId="1F3EFEBC" w14:textId="77777777" w:rsidR="00AB6491" w:rsidRDefault="00AB6491" w:rsidP="002F0D7F">
      <w:pPr>
        <w:bidi/>
        <w:rPr>
          <w:rFonts w:cs="B Lotus"/>
        </w:rPr>
      </w:pPr>
      <w:r>
        <w:rPr>
          <w:rFonts w:cs="B Lotus" w:hint="cs"/>
          <w:rtl/>
        </w:rPr>
        <w:t xml:space="preserve">اوهاجو و همکارانش </w:t>
      </w:r>
      <w:r w:rsidRPr="00262069">
        <w:rPr>
          <w:rFonts w:cs="B Lotus"/>
          <w:rtl/>
        </w:rPr>
        <w:t xml:space="preserve">رویکرد ذینفعان را که در سیستم پشتیبانی </w:t>
      </w:r>
      <w:r>
        <w:rPr>
          <w:rFonts w:cs="B Lotus" w:hint="cs"/>
          <w:rtl/>
        </w:rPr>
        <w:t>طرح</w:t>
      </w:r>
      <w:r>
        <w:rPr>
          <w:rFonts w:cs="B Lotus"/>
          <w:rtl/>
        </w:rPr>
        <w:softHyphen/>
      </w:r>
      <w:r w:rsidRPr="00262069">
        <w:rPr>
          <w:rFonts w:cs="B Lotus"/>
          <w:rtl/>
        </w:rPr>
        <w:t xml:space="preserve">ریزی شده، ارائه </w:t>
      </w:r>
      <w:r>
        <w:rPr>
          <w:rFonts w:cs="B Lotus" w:hint="cs"/>
          <w:rtl/>
        </w:rPr>
        <w:t>داده</w:t>
      </w:r>
      <w:r>
        <w:rPr>
          <w:rFonts w:cs="B Lotus"/>
          <w:rtl/>
        </w:rPr>
        <w:softHyphen/>
      </w:r>
      <w:r>
        <w:rPr>
          <w:rFonts w:cs="B Lotus" w:hint="cs"/>
          <w:rtl/>
        </w:rPr>
        <w:t>است</w:t>
      </w:r>
      <w:r w:rsidRPr="00262069">
        <w:rPr>
          <w:rFonts w:cs="B Lotus"/>
          <w:rtl/>
        </w:rPr>
        <w:t xml:space="preserve"> تا با توجه به تأثیر استراتژی های انرژی بر منافع آنها در محیط زیست، اطلاعات ذینفعان را در اختیار علاقه مندان قرار دهد. </w:t>
      </w:r>
      <w:r>
        <w:rPr>
          <w:rFonts w:cs="B Lotus" w:hint="cs"/>
          <w:rtl/>
        </w:rPr>
        <w:t xml:space="preserve"> </w:t>
      </w:r>
      <w:r w:rsidRPr="00262069">
        <w:rPr>
          <w:rFonts w:cs="B Lotus"/>
          <w:rtl/>
        </w:rPr>
        <w:t xml:space="preserve">نتایج خلاصه ای را در یک رویکرد کاربر پسند / بصری پیش بینی می کند: مکان ها به عنوان «بسیار خوب»، «خوب» یا «بد» برای اجرای احتمالی یک </w:t>
      </w:r>
      <w:r>
        <w:rPr>
          <w:rFonts w:cs="B Lotus" w:hint="cs"/>
          <w:rtl/>
        </w:rPr>
        <w:t>شاخص</w:t>
      </w:r>
      <w:r w:rsidRPr="00262069">
        <w:rPr>
          <w:rFonts w:cs="B Lotus"/>
          <w:rtl/>
        </w:rPr>
        <w:t xml:space="preserve"> (مانند </w:t>
      </w:r>
      <w:r w:rsidRPr="00262069">
        <w:rPr>
          <w:rFonts w:cs="B Lotus"/>
        </w:rPr>
        <w:t>PV</w:t>
      </w:r>
      <w:r w:rsidRPr="00262069">
        <w:rPr>
          <w:rFonts w:cs="B Lotus"/>
          <w:rtl/>
        </w:rPr>
        <w:t xml:space="preserve"> </w:t>
      </w:r>
      <w:r w:rsidRPr="00262069">
        <w:rPr>
          <w:rFonts w:cs="B Lotus" w:hint="cs"/>
          <w:rtl/>
        </w:rPr>
        <w:t>خورشیدی یا بازسازی ساختمان )</w:t>
      </w:r>
      <w:r>
        <w:rPr>
          <w:rFonts w:cs="B Lotus" w:hint="cs"/>
          <w:rtl/>
        </w:rPr>
        <w:t xml:space="preserve"> دسته بندی شده</w:t>
      </w:r>
      <w:r>
        <w:rPr>
          <w:rFonts w:cs="B Lotus"/>
          <w:rtl/>
        </w:rPr>
        <w:softHyphen/>
      </w:r>
      <w:r>
        <w:rPr>
          <w:rFonts w:cs="B Lotus" w:hint="cs"/>
          <w:rtl/>
        </w:rPr>
        <w:t>اند</w:t>
      </w:r>
      <w:r w:rsidRPr="00262069">
        <w:rPr>
          <w:rFonts w:cs="B Lotus" w:hint="cs"/>
          <w:rtl/>
        </w:rPr>
        <w:t>.</w:t>
      </w:r>
      <w:r w:rsidRPr="00262069">
        <w:rPr>
          <w:rFonts w:cs="B Lotus"/>
          <w:rtl/>
        </w:rPr>
        <w:t xml:space="preserve"> کارهای آینده در مورد این سیستم شامل گسترش آن به منظور ش</w:t>
      </w:r>
      <w:r>
        <w:rPr>
          <w:rFonts w:cs="B Lotus" w:hint="cs"/>
          <w:rtl/>
        </w:rPr>
        <w:t>مول</w:t>
      </w:r>
      <w:r w:rsidRPr="00262069">
        <w:rPr>
          <w:rFonts w:cs="B Lotus"/>
          <w:rtl/>
        </w:rPr>
        <w:t xml:space="preserve"> اقدامات بیشتر (در حال حاضر شامل استفاده از انرژی خورشیدی و بازسازی ساختمان) است، به طوری که طیف گسترده ای از گزینه های برای حمایت از توسعه استراتژی های انرژی شهری را فراهم کند</w:t>
      </w:r>
      <w:r w:rsidRPr="00262069">
        <w:rPr>
          <w:rFonts w:cs="B Lotus"/>
          <w:rtl/>
        </w:rPr>
        <w:fldChar w:fldCharType="begin" w:fldLock="1"/>
      </w:r>
      <w:r>
        <w:rPr>
          <w:rFonts w:cs="B Lotus"/>
        </w:rPr>
        <w:instrText>ADDIN CSL_CITATION { "citationItems" : [ { "id" : "ITEM-1", "itemData" : { "DOI" : "10.1016/j.scs.2016.08.006", "ISBN" : "18766102 (ISSN)", "ISSN" : "22106707", "abstract" : "The successful implementation of urban energy planning strategies (applied as a set of measures to improve energy efficiency and enhance renewable energy generation to reduce CO2 emissions) depends on the satisfaction of the stakeholders, involved in future implementation processes. This article presents a stakeholder-oriented approach, implemented in a planning support system, to provide stakeholders with specific information from their points-of-view, regarding the impact of energy strategies on their interests in the built environment. The approach is based on semantic web technologies, where an ontology has been developed to provide targeted information for different stakeholders while developing urban energy strategies. Measures to be implemented are defined. Stakeholders are identified and questions they raise for their decision making are listed, as competency questions of the ontology. Computation models to answer these questions are identified or developed, based on the data availability in the city. The semantics used in these models are then captured and classified within the ontology. Then the decision making knowledge of the stakeholders is integrated within the ontology, as inference rules. Finally, the ontology is used through a web-map-based interface. The proposed solution anticipates the potential decisions of the different stakeholders, easing the progress of the energy planning process, typically happening in workshops or forums in collaboration with different stakeholders.", "author" : [ { "dropping-particle" : "", "family" : "Ouhajjou", "given" : "Najd", "non-dropping-particle" : "", "parse-names" : false, "suffix" : "" }, { "dropping-particle" : "", "family" : "Loibl", "given" : "Wolfgang", "non-dropping-particle" : "", "parse-names" : false, "suffix" : "" }, { "dropping-particle" : "", "family" : "Fenz", "given" : "Stefan", "non-dropping-particle" : "", "parse-names" : false, "suffix" : "" }, { "dropping-particle" : "", "family" : "Tjoa", "given" : "A. Min", "non-dropping-particle" : "", "parse-names" : false, "suffix" : "" } ], "container-title" : "Sustainable Cities and Society", "id" : "ITEM-1", "issued" : { "date-parts" : [ [ "2017" ] ] }, "page" : "482-492", "publisher" : "Elsevier B.V.", "title" : "Stakeholder-oriented energy planning support in cities", "type" : "article-journal", "volume" : "28" }, "uris" : [ "http://www.mendeley.com/documents/?uuid=635d2f3e-3dbb-403b-8904-eae754725314" ] } ], "mendeley" : { "formattedCitation" : "(Ouhajjou, Loibl, Fenz, &amp; Tjoa, 2017)", "plainTextFormattedCitation" : "(Ouhajjou, Loibl, Fenz, &amp; Tjoa, 2017)", "previouslyFormattedCitation" : "(Ouhajjou, Loibl, Fenz, &amp; Tjoa, 2017)" }, "properties" : {  }, "schema" : "https://github.com/citation-style-language/schema/raw/master/csl-citation.json" }</w:instrText>
      </w:r>
      <w:r w:rsidRPr="00262069">
        <w:rPr>
          <w:rFonts w:cs="B Lotus"/>
          <w:rtl/>
        </w:rPr>
        <w:fldChar w:fldCharType="separate"/>
      </w:r>
      <w:r w:rsidRPr="00BB5C08">
        <w:rPr>
          <w:rFonts w:cs="B Lotus"/>
          <w:noProof/>
        </w:rPr>
        <w:t>(Ouhajjou, Loibl, Fenz, &amp; Tjoa, 2017)</w:t>
      </w:r>
      <w:r w:rsidRPr="00262069">
        <w:rPr>
          <w:rFonts w:cs="B Lotus"/>
          <w:rtl/>
        </w:rPr>
        <w:fldChar w:fldCharType="end"/>
      </w:r>
    </w:p>
    <w:p w14:paraId="4EBF4039" w14:textId="77777777" w:rsidR="00AB6491" w:rsidRPr="00262069" w:rsidRDefault="00AB6491" w:rsidP="002F0D7F">
      <w:pPr>
        <w:pStyle w:val="NormalWeb"/>
        <w:bidi/>
        <w:spacing w:before="0" w:beforeAutospacing="0" w:after="0" w:afterAutospacing="0"/>
        <w:jc w:val="both"/>
        <w:rPr>
          <w:rFonts w:cs="B Lotus"/>
        </w:rPr>
      </w:pPr>
      <w:r>
        <w:rPr>
          <w:rFonts w:cs="B Lotus" w:hint="cs"/>
          <w:rtl/>
          <w:lang w:bidi="fa-IR"/>
        </w:rPr>
        <w:t>دلانزو-پاز و همکارانش مروری بر روش</w:t>
      </w:r>
      <w:r>
        <w:rPr>
          <w:rFonts w:cs="B Lotus"/>
          <w:rtl/>
          <w:lang w:bidi="fa-IR"/>
        </w:rPr>
        <w:softHyphen/>
      </w:r>
      <w:r>
        <w:rPr>
          <w:rFonts w:cs="B Lotus" w:hint="cs"/>
          <w:rtl/>
          <w:lang w:bidi="fa-IR"/>
        </w:rPr>
        <w:t>های تئوری نمونه کارهای مدرن</w:t>
      </w:r>
      <w:r w:rsidRPr="00262069">
        <w:rPr>
          <w:rFonts w:cs="B Lotus"/>
          <w:rtl/>
        </w:rPr>
        <w:t xml:space="preserve"> </w:t>
      </w:r>
      <w:r w:rsidRPr="00262069">
        <w:rPr>
          <w:rFonts w:cs="B Lotus" w:hint="cs"/>
          <w:rtl/>
        </w:rPr>
        <w:t>براساس</w:t>
      </w:r>
      <w:r w:rsidRPr="00262069">
        <w:rPr>
          <w:rFonts w:cs="B Lotus"/>
          <w:rtl/>
        </w:rPr>
        <w:t xml:space="preserve"> </w:t>
      </w:r>
      <w:r w:rsidRPr="00262069">
        <w:rPr>
          <w:rFonts w:cs="B Lotus" w:hint="cs"/>
          <w:rtl/>
        </w:rPr>
        <w:t>کاربرد</w:t>
      </w:r>
      <w:r w:rsidRPr="00262069">
        <w:rPr>
          <w:rFonts w:cs="B Lotus"/>
          <w:rtl/>
        </w:rPr>
        <w:t xml:space="preserve"> </w:t>
      </w:r>
      <w:r w:rsidRPr="00262069">
        <w:rPr>
          <w:rFonts w:cs="B Lotus" w:hint="cs"/>
          <w:rtl/>
        </w:rPr>
        <w:t>معیارهای</w:t>
      </w:r>
      <w:r w:rsidRPr="00262069">
        <w:rPr>
          <w:rFonts w:cs="B Lotus"/>
          <w:rtl/>
        </w:rPr>
        <w:t xml:space="preserve"> </w:t>
      </w:r>
      <w:r w:rsidRPr="00262069">
        <w:rPr>
          <w:rFonts w:cs="B Lotus" w:hint="cs"/>
          <w:rtl/>
        </w:rPr>
        <w:t>اقتصادی</w:t>
      </w:r>
      <w:r w:rsidRPr="00262069">
        <w:rPr>
          <w:rFonts w:cs="B Lotus"/>
          <w:rtl/>
        </w:rPr>
        <w:t xml:space="preserve"> </w:t>
      </w:r>
      <w:r w:rsidRPr="00262069">
        <w:rPr>
          <w:rFonts w:cs="B Lotus" w:hint="cs"/>
          <w:rtl/>
        </w:rPr>
        <w:t>انجام</w:t>
      </w:r>
      <w:r w:rsidRPr="00262069">
        <w:rPr>
          <w:rFonts w:cs="B Lotus"/>
          <w:rtl/>
        </w:rPr>
        <w:t xml:space="preserve"> </w:t>
      </w:r>
      <w:r w:rsidRPr="00262069">
        <w:rPr>
          <w:rFonts w:cs="B Lotus" w:hint="cs"/>
          <w:rtl/>
        </w:rPr>
        <w:t>می</w:t>
      </w:r>
      <w:r w:rsidRPr="00262069">
        <w:rPr>
          <w:rFonts w:cs="B Lotus"/>
          <w:rtl/>
        </w:rPr>
        <w:t xml:space="preserve"> </w:t>
      </w:r>
      <w:r w:rsidRPr="00262069">
        <w:rPr>
          <w:rFonts w:cs="B Lotus" w:hint="cs"/>
          <w:rtl/>
        </w:rPr>
        <w:t>دهند،</w:t>
      </w:r>
      <w:r w:rsidRPr="00262069">
        <w:rPr>
          <w:rFonts w:cs="B Lotus"/>
          <w:rtl/>
        </w:rPr>
        <w:t xml:space="preserve"> </w:t>
      </w:r>
      <w:r>
        <w:rPr>
          <w:rFonts w:cs="B Lotus" w:hint="cs"/>
          <w:rtl/>
        </w:rPr>
        <w:t>طبق نتایج آن</w:t>
      </w:r>
      <w:r>
        <w:rPr>
          <w:rFonts w:cs="B Lotus"/>
          <w:rtl/>
        </w:rPr>
        <w:softHyphen/>
      </w:r>
      <w:r>
        <w:rPr>
          <w:rFonts w:cs="B Lotus" w:hint="cs"/>
          <w:rtl/>
        </w:rPr>
        <w:t xml:space="preserve">ها </w:t>
      </w:r>
      <w:r w:rsidRPr="00262069">
        <w:rPr>
          <w:rFonts w:cs="B Lotus" w:hint="cs"/>
          <w:rtl/>
        </w:rPr>
        <w:t>مرزهای</w:t>
      </w:r>
      <w:r w:rsidRPr="00262069">
        <w:rPr>
          <w:rFonts w:cs="B Lotus"/>
          <w:rtl/>
        </w:rPr>
        <w:t xml:space="preserve"> </w:t>
      </w:r>
      <w:r w:rsidRPr="00262069">
        <w:rPr>
          <w:rFonts w:cs="B Lotus" w:hint="cs"/>
          <w:rtl/>
        </w:rPr>
        <w:t>ریسک</w:t>
      </w:r>
      <w:r w:rsidRPr="00262069">
        <w:rPr>
          <w:rFonts w:cs="B Lotus"/>
          <w:rtl/>
        </w:rPr>
        <w:t xml:space="preserve"> </w:t>
      </w:r>
      <w:r w:rsidRPr="00262069">
        <w:rPr>
          <w:rFonts w:cs="B Lotus" w:hint="cs"/>
          <w:rtl/>
        </w:rPr>
        <w:t>بازگشت</w:t>
      </w:r>
      <w:r w:rsidRPr="00262069">
        <w:rPr>
          <w:rFonts w:cs="B Lotus"/>
          <w:rtl/>
        </w:rPr>
        <w:t xml:space="preserve"> (</w:t>
      </w:r>
      <w:r w:rsidRPr="00262069">
        <w:rPr>
          <w:rFonts w:cs="B Lotus" w:hint="cs"/>
          <w:rtl/>
        </w:rPr>
        <w:t>بازده</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عنوان</w:t>
      </w:r>
      <w:r w:rsidRPr="00262069">
        <w:rPr>
          <w:rFonts w:cs="B Lotus"/>
          <w:rtl/>
        </w:rPr>
        <w:t xml:space="preserve"> </w:t>
      </w:r>
      <w:r w:rsidRPr="00262069">
        <w:rPr>
          <w:rFonts w:cs="B Lotus" w:hint="cs"/>
          <w:rtl/>
        </w:rPr>
        <w:t>معکوس</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هزینه،</w:t>
      </w:r>
      <w:r w:rsidRPr="00262069">
        <w:rPr>
          <w:rFonts w:cs="B Lotus"/>
          <w:rtl/>
        </w:rPr>
        <w:t xml:space="preserve"> </w:t>
      </w:r>
      <w:r w:rsidRPr="00262069">
        <w:rPr>
          <w:rFonts w:cs="B Lotus"/>
        </w:rPr>
        <w:t>NPV</w:t>
      </w:r>
      <w:r w:rsidRPr="00262069">
        <w:rPr>
          <w:rFonts w:cs="B Lotus"/>
          <w:rtl/>
        </w:rPr>
        <w:t xml:space="preserve">، </w:t>
      </w:r>
      <w:r w:rsidRPr="00262069">
        <w:rPr>
          <w:rFonts w:cs="B Lotus"/>
        </w:rPr>
        <w:t>IRR</w:t>
      </w:r>
      <w:r w:rsidRPr="00262069">
        <w:rPr>
          <w:rFonts w:cs="B Lotus"/>
          <w:rtl/>
        </w:rPr>
        <w:t xml:space="preserve">) و مرزهای هزینه-خطر را تولید می کند. </w:t>
      </w:r>
      <w:r w:rsidRPr="00262069">
        <w:rPr>
          <w:rFonts w:cs="B Lotus" w:hint="cs"/>
          <w:rtl/>
        </w:rPr>
        <w:t>استفاده</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تئوری</w:t>
      </w:r>
      <w:r w:rsidRPr="00262069">
        <w:rPr>
          <w:rFonts w:cs="B Lotus"/>
          <w:rtl/>
        </w:rPr>
        <w:t xml:space="preserve"> </w:t>
      </w:r>
      <w:r w:rsidRPr="00262069">
        <w:rPr>
          <w:rFonts w:cs="B Lotus" w:hint="cs"/>
          <w:rtl/>
        </w:rPr>
        <w:t>نمونه</w:t>
      </w:r>
      <w:r w:rsidRPr="00262069">
        <w:rPr>
          <w:rFonts w:cs="B Lotus"/>
          <w:rtl/>
        </w:rPr>
        <w:t xml:space="preserve"> </w:t>
      </w:r>
      <w:r w:rsidRPr="00262069">
        <w:rPr>
          <w:rFonts w:cs="B Lotus" w:hint="cs"/>
          <w:rtl/>
        </w:rPr>
        <w:t>کارها</w:t>
      </w:r>
      <w:r w:rsidRPr="00262069">
        <w:rPr>
          <w:rFonts w:cs="B Lotus"/>
          <w:rtl/>
        </w:rPr>
        <w:t xml:space="preserve"> </w:t>
      </w:r>
      <w:r w:rsidRPr="00262069">
        <w:rPr>
          <w:rFonts w:cs="B Lotus" w:hint="cs"/>
          <w:rtl/>
        </w:rPr>
        <w:t>مدرن</w:t>
      </w:r>
      <w:r w:rsidRPr="00262069">
        <w:rPr>
          <w:rFonts w:cs="B Lotus"/>
          <w:rtl/>
        </w:rPr>
        <w:t xml:space="preserve"> (</w:t>
      </w:r>
      <w:r w:rsidRPr="00262069">
        <w:rPr>
          <w:rFonts w:cs="B Lotus"/>
        </w:rPr>
        <w:t>MPT</w:t>
      </w:r>
      <w:r w:rsidRPr="00262069">
        <w:rPr>
          <w:rFonts w:cs="B Lotus"/>
          <w:rtl/>
        </w:rPr>
        <w:t xml:space="preserve">) به </w:t>
      </w:r>
      <w:r>
        <w:rPr>
          <w:rFonts w:cs="B Lotus" w:hint="cs"/>
          <w:rtl/>
        </w:rPr>
        <w:t>طرح</w:t>
      </w:r>
      <w:r>
        <w:rPr>
          <w:rFonts w:cs="B Lotus"/>
          <w:rtl/>
        </w:rPr>
        <w:softHyphen/>
      </w:r>
      <w:r w:rsidRPr="00262069">
        <w:rPr>
          <w:rFonts w:cs="B Lotus"/>
          <w:rtl/>
        </w:rPr>
        <w:t>ریزی انرژی به طور گسترده پذیرفته شده است و توسط مطالعات متعدد تایید شده است</w:t>
      </w:r>
      <w:r>
        <w:rPr>
          <w:rFonts w:cs="B Lotus"/>
        </w:rPr>
        <w:t xml:space="preserve">. </w:t>
      </w:r>
      <w:r w:rsidRPr="00262069">
        <w:rPr>
          <w:rFonts w:cs="B Lotus" w:hint="cs"/>
          <w:rtl/>
        </w:rPr>
        <w:t>مطالعات</w:t>
      </w:r>
      <w:r w:rsidRPr="00262069">
        <w:rPr>
          <w:rFonts w:cs="B Lotus"/>
          <w:rtl/>
        </w:rPr>
        <w:t xml:space="preserve"> </w:t>
      </w:r>
      <w:r w:rsidRPr="00262069">
        <w:rPr>
          <w:rFonts w:cs="B Lotus" w:hint="cs"/>
          <w:rtl/>
        </w:rPr>
        <w:t>عموما</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نظر</w:t>
      </w:r>
      <w:r w:rsidRPr="00262069">
        <w:rPr>
          <w:rFonts w:cs="B Lotus"/>
          <w:rtl/>
        </w:rPr>
        <w:t xml:space="preserve"> </w:t>
      </w:r>
      <w:r w:rsidRPr="00262069">
        <w:rPr>
          <w:rFonts w:cs="B Lotus" w:hint="cs"/>
          <w:rtl/>
        </w:rPr>
        <w:t>دارند</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استفاده</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تکنولوژی</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rPr>
        <w:t>RES</w:t>
      </w:r>
      <w:r w:rsidRPr="00262069">
        <w:rPr>
          <w:rFonts w:cs="B Lotus"/>
          <w:rtl/>
        </w:rPr>
        <w:t xml:space="preserve"> </w:t>
      </w:r>
      <w:r w:rsidRPr="00262069">
        <w:rPr>
          <w:rFonts w:cs="B Lotus" w:hint="cs"/>
          <w:rtl/>
        </w:rPr>
        <w:t>به کا</w:t>
      </w:r>
      <w:r>
        <w:rPr>
          <w:rFonts w:cs="B Lotus" w:hint="cs"/>
          <w:rtl/>
        </w:rPr>
        <w:t>هش ریسک نمونه کارها کمک می کند و منابع فسیلی میزان ریسک را بالا می برند.</w:t>
      </w:r>
      <w:r w:rsidRPr="00262069">
        <w:rPr>
          <w:rFonts w:cs="B Lotus"/>
          <w:rtl/>
        </w:rPr>
        <w:fldChar w:fldCharType="begin" w:fldLock="1"/>
      </w:r>
      <w:r>
        <w:rPr>
          <w:rFonts w:cs="B Lotus"/>
        </w:rPr>
        <w:instrText>ADDIN CSL_CITATION { "citationItems" : [ { "id" : "ITEM-1", "itemData" : { "DOI" : "10.1016/j.rser.2017.04.045", "ISSN" : "18790690", "abstract" : "Modern portfolio theory (MPT) stands as a widely accepted methodology to meet the challenges associated with the definition of energy planning for a particular territory or region. Energy planning is thus framed as an investment selection problem. MPT is characterized by having a wider capacity and conceptual richness than the other previously used methodologies, such as the individual least cost alternative. The portfolio approach is based on solving for an objective function that seeks to minimize either the cost or the risk of the portfolio, subject to different constraints, considering that real electricity generation assets can be defined in terms of cost or return and economic risk for each alternative technology. The relevant portfolios are the result of solving the optimization model, to determine the efficient cost-risk frontier. The work presented here consists of an exhaustive review of the literature in relation to the application of MPT methodology to the field of energy planning and electricity production. A new classification is proposed from a financial perspective of the selection of investments from the preceding studies. It delves deeper into the explanation of the limits to the methodology and into the concept of risk, which is key from both a financial and an energy perspective. The main methodological contributions found in the literature are examined that are aimed at improving the capacity of the model and adjusting it to the reality of the electricity market, Finally, conclusions are provided from the works analyzed in terms of renewable technologies and the policy implications derived from them. In most studies, a preference has been shown for the inclusion of renewable technologies in the efficient portfolios. However, in order to implement the decision to increase the share of renewable technologies, greater flexibility in the interconnection capacity between states and in storage capacity is needed.", "author" : [ { "dropping-particle" : "", "family" : "DeLlano-Paz", "given" : "Fernando", "non-dropping-particle" : "", "parse-names" : false, "suffix" : "" }, { "dropping-particle" : "", "family" : "Calvo-Silvosa", "given" : "Anxo", "non-dropping-particle" : "", "parse-names" : false, "suffix" : "" }, { "dropping-particle" : "", "family" : "Antelo", "given" : "Susana Iglesias", "non-dropping-particle" : "", "parse-names" : false, "suffix" : "" }, { "dropping-particle" : "", "family" : "Soares", "given" : "Isabel", "non-dropping-particle" : "", "parse-names" : false, "suffix" : "" } ], "container-title" : "Renewable and Sustainable Energy Reviews", "id" : "ITEM-1", "issue" : "March 2016", "issued" : { "date-parts" : [ [ "2017" ] ] }, "page" : "636-651", "publisher" : "Elsevier Ltd", "title" : "Energy planning and modern portfolio theory: A review", "type" : "article-journal", "volume" : "77" }, "uris" : [ "http://www.mendeley.com/documents/?uuid=104214f9-b9dd-4bf4-80a5-6069c2043ae4" ] } ], "mendeley" : { "formattedCitation" : "(DeLlano-Paz, Calvo-Silvosa, Antelo, &amp; Soares, 2017)", "plainTextFormattedCitation" : "(DeLlano-Paz, Calvo-Silvosa, Antelo, &amp; Soares, 2017)", "previouslyFormattedCitation" : "(DeLlano-Paz, Calvo-Silvosa, Antelo, &amp; Soares, 2017)" }, "properties" : {  }, "schema" : "https://github.com/citation-style-language/schema/raw/master/csl-citation.json" }</w:instrText>
      </w:r>
      <w:r w:rsidRPr="00262069">
        <w:rPr>
          <w:rFonts w:cs="B Lotus"/>
          <w:rtl/>
        </w:rPr>
        <w:fldChar w:fldCharType="separate"/>
      </w:r>
      <w:r w:rsidRPr="00BB5C08">
        <w:rPr>
          <w:rFonts w:cs="B Lotus"/>
          <w:noProof/>
        </w:rPr>
        <w:t>(DeLlano-Paz, Calvo-Silvosa, Antelo, &amp; Soares, 2017)</w:t>
      </w:r>
      <w:r w:rsidRPr="00262069">
        <w:rPr>
          <w:rFonts w:cs="B Lotus"/>
          <w:rtl/>
        </w:rPr>
        <w:fldChar w:fldCharType="end"/>
      </w:r>
      <w:r w:rsidRPr="00262069">
        <w:rPr>
          <w:rFonts w:cs="B Lotus"/>
          <w:rtl/>
        </w:rPr>
        <w:t>.</w:t>
      </w:r>
      <w:r>
        <w:rPr>
          <w:rFonts w:cs="B Lotus" w:hint="cs"/>
          <w:rtl/>
        </w:rPr>
        <w:t xml:space="preserve"> </w:t>
      </w:r>
    </w:p>
    <w:p w14:paraId="1A0FA0F4" w14:textId="77777777" w:rsidR="00AB6491" w:rsidRDefault="00AB6491" w:rsidP="002F0D7F">
      <w:pPr>
        <w:bidi/>
        <w:rPr>
          <w:rFonts w:cs="B Lotus"/>
          <w:rtl/>
          <w:lang w:bidi="fa-IR"/>
        </w:rPr>
      </w:pPr>
      <w:r>
        <w:rPr>
          <w:rFonts w:cs="B Lotus" w:hint="cs"/>
          <w:rtl/>
        </w:rPr>
        <w:t xml:space="preserve">کار فیلیپ و همکارانش گزارشی </w:t>
      </w:r>
      <w:r w:rsidRPr="00262069">
        <w:rPr>
          <w:rFonts w:cs="B Lotus" w:hint="cs"/>
          <w:rtl/>
        </w:rPr>
        <w:t xml:space="preserve">در مورد </w:t>
      </w:r>
      <w:r w:rsidRPr="00262069">
        <w:rPr>
          <w:rFonts w:cs="B Lotus"/>
        </w:rPr>
        <w:t>SEA</w:t>
      </w:r>
      <w:r w:rsidRPr="00262069">
        <w:rPr>
          <w:rFonts w:cs="B Lotus" w:hint="cs"/>
          <w:rtl/>
        </w:rPr>
        <w:t xml:space="preserve"> اعمال شده در بخش انرژی باد در انگلستان و آلمان </w:t>
      </w:r>
      <w:r>
        <w:rPr>
          <w:rFonts w:cs="B Lotus" w:hint="cs"/>
          <w:rtl/>
        </w:rPr>
        <w:t>تهیه کرد</w:t>
      </w:r>
      <w:r>
        <w:rPr>
          <w:rFonts w:cs="B Lotus"/>
          <w:rtl/>
        </w:rPr>
        <w:softHyphen/>
      </w:r>
      <w:r>
        <w:rPr>
          <w:rFonts w:cs="B Lotus" w:hint="cs"/>
          <w:rtl/>
        </w:rPr>
        <w:t>اند</w:t>
      </w:r>
      <w:r w:rsidRPr="00262069">
        <w:rPr>
          <w:rFonts w:cs="B Lotus" w:hint="cs"/>
          <w:rtl/>
        </w:rPr>
        <w:t xml:space="preserve">. به طور کلی، تأثیر </w:t>
      </w:r>
      <w:r w:rsidRPr="00262069">
        <w:rPr>
          <w:rFonts w:cs="B Lotus"/>
        </w:rPr>
        <w:t>SEA</w:t>
      </w:r>
      <w:r w:rsidRPr="00262069">
        <w:rPr>
          <w:rFonts w:cs="B Lotus" w:hint="cs"/>
          <w:rtl/>
        </w:rPr>
        <w:t xml:space="preserve"> بر روی ساختن طرح انرژی باد در آلمان، پایین آمده و تأثیر </w:t>
      </w:r>
      <w:r w:rsidRPr="00262069">
        <w:rPr>
          <w:rFonts w:cs="B Lotus"/>
        </w:rPr>
        <w:t>SEA</w:t>
      </w:r>
      <w:r w:rsidRPr="00262069">
        <w:rPr>
          <w:rFonts w:cs="B Lotus" w:hint="cs"/>
          <w:rtl/>
        </w:rPr>
        <w:t xml:space="preserve"> در برنامه های انگلیس مورد توجه قرار گرفته است. برنامه های آلمان نفوذ کمتری را به دست آوردند که عمدتا به دلیل عملکرد محیط زیست بالا در طرح های پایه در نظر گرفته شده است. یافته های </w:t>
      </w:r>
      <w:r>
        <w:rPr>
          <w:rFonts w:cs="B Lotus" w:hint="cs"/>
          <w:rtl/>
        </w:rPr>
        <w:t xml:space="preserve">آنها </w:t>
      </w:r>
      <w:r w:rsidRPr="00262069">
        <w:rPr>
          <w:rFonts w:cs="B Lotus" w:hint="cs"/>
          <w:rtl/>
        </w:rPr>
        <w:t xml:space="preserve">به برخی از </w:t>
      </w:r>
      <w:r w:rsidRPr="00262069">
        <w:rPr>
          <w:rFonts w:cs="B Lotus" w:hint="cs"/>
          <w:rtl/>
        </w:rPr>
        <w:lastRenderedPageBreak/>
        <w:t xml:space="preserve">ناتوانی های عملی </w:t>
      </w:r>
      <w:r w:rsidRPr="00262069">
        <w:rPr>
          <w:rFonts w:cs="B Lotus"/>
        </w:rPr>
        <w:t>SEA</w:t>
      </w:r>
      <w:r w:rsidRPr="00262069">
        <w:rPr>
          <w:rFonts w:cs="B Lotus" w:hint="cs"/>
          <w:rtl/>
        </w:rPr>
        <w:t xml:space="preserve"> در مطالعات قبلی در مورد اثربخشی </w:t>
      </w:r>
      <w:r w:rsidRPr="00262069">
        <w:rPr>
          <w:rFonts w:cs="B Lotus"/>
        </w:rPr>
        <w:t>SEA</w:t>
      </w:r>
      <w:r w:rsidRPr="00262069">
        <w:rPr>
          <w:rFonts w:cs="B Lotus" w:hint="cs"/>
          <w:rtl/>
        </w:rPr>
        <w:t xml:space="preserve">، از جمله پیش بینی های ضعیف و بخش های اهمیت و فقدان </w:t>
      </w:r>
      <w:r>
        <w:rPr>
          <w:rFonts w:cs="B Lotus" w:hint="cs"/>
          <w:rtl/>
        </w:rPr>
        <w:t>طرح</w:t>
      </w:r>
      <w:r>
        <w:rPr>
          <w:rFonts w:cs="B Lotus"/>
          <w:rtl/>
        </w:rPr>
        <w:softHyphen/>
      </w:r>
      <w:r w:rsidRPr="00262069">
        <w:rPr>
          <w:rFonts w:cs="B Lotus" w:hint="cs"/>
          <w:rtl/>
        </w:rPr>
        <w:t>های نظارت دقیق برای پیاده سازی پس از پیگیری اشاره می کند</w:t>
      </w:r>
      <w:r w:rsidRPr="00262069">
        <w:rPr>
          <w:rFonts w:cs="B Lotus" w:hint="cs"/>
          <w:rtl/>
        </w:rPr>
        <w:fldChar w:fldCharType="begin" w:fldLock="1"/>
      </w:r>
      <w:r>
        <w:rPr>
          <w:rFonts w:cs="B Lotus"/>
        </w:rPr>
        <w:instrText>ADDIN CSL_CITATION { "citationItems" : [ { "id" : "ITEM-1", "itemData" : { "DOI" : "10.1016/j.eiar.2014.09.013", "ISSN" : "01959255", "abstract" : "This paper reports on SEA applied in the wind energy sector in the UK and Germany. Based on a review of 18 SEAs, it is found that the quality of SEA documentation is variable, with over a third of them being deemed unsatisfactory. Furthermore, SEA processes are conducted to varying degrees of effectiveness, with scoping a strength but impact prediction and mitigation weaknesses. Generally speaking, the influence of SEA on German wind energy plan making was found to be low and the influence of SEA on UK plans deemed to be moderate. The German plans had a low influence mainly because of a perceived high environmental performance of the underlying plans in the first instance. Substantive outcomes of SEA are not always clear and the influence of SEA on decision making is said to be limited in many cases. Finally, a lack of effective tiering between SEA and project level EIA is also observed. In addition, our findings echo some of the weaknesses of SEA practice found in previous studies of SEA effectiveness, including poor impact prediction and significance sections and a lack of detailed monitoring programmes for post plan implementation.", "author" : [ { "dropping-particle" : "", "family" : "Phylip-Jones", "given" : "J.", "non-dropping-particle" : "", "parse-names" : false, "suffix" : "" }, { "dropping-particle" : "", "family" : "Fischer", "given" : "T. B.", "non-dropping-particle" : "", "parse-names" : false, "suffix" : "" } ], "container-title" : "Environmental Impact Assessment Review", "id" : "ITEM-1", "issued" : { "date-parts" : [ [ "2015" ] ] }, "page" : "203-212", "publisher" : "Elsevier B.V.", "title" : "Strategic environmental assessment (SEA) for wind energy planning: Lessons from the United Kingdom and Germany", "type" : "article-journal", "volume" : "50" }, "uris" : [ "http://www.mendeley.com/documents/?uuid=915376c2-a713-4f83-9e1e-c0d169c2722b" ] } ], "mendeley" : { "formattedCitation" : "(Phylip-Jones &amp; Fischer, 2015)", "plainTextFormattedCitation" : "(Phylip-Jones &amp; Fischer, 2015)", "previouslyFormattedCitation" : "(Phylip-Jones &amp; Fischer, 2015)" }, "properties" : {  }, "schema" : "https://github.com/citation-style-language/schema/raw/master/csl-citation.json" }</w:instrText>
      </w:r>
      <w:r w:rsidRPr="00262069">
        <w:rPr>
          <w:rFonts w:cs="B Lotus" w:hint="cs"/>
          <w:rtl/>
        </w:rPr>
        <w:fldChar w:fldCharType="separate"/>
      </w:r>
      <w:r w:rsidRPr="00BB5C08">
        <w:rPr>
          <w:rFonts w:cs="B Lotus"/>
          <w:noProof/>
        </w:rPr>
        <w:t>(Phylip-Jones &amp; Fischer, 2015)</w:t>
      </w:r>
      <w:r w:rsidRPr="00262069">
        <w:rPr>
          <w:rFonts w:cs="B Lotus" w:hint="cs"/>
          <w:rtl/>
        </w:rPr>
        <w:fldChar w:fldCharType="end"/>
      </w:r>
      <w:r>
        <w:rPr>
          <w:rFonts w:cs="B Lotus" w:hint="cs"/>
          <w:rtl/>
        </w:rPr>
        <w:t>.</w:t>
      </w:r>
      <w:r>
        <w:rPr>
          <w:rFonts w:cs="B Lotus" w:hint="cs"/>
          <w:rtl/>
          <w:lang w:bidi="fa-IR"/>
        </w:rPr>
        <w:t xml:space="preserve"> </w:t>
      </w:r>
    </w:p>
    <w:p w14:paraId="649E66BD" w14:textId="77777777" w:rsidR="00AB6491" w:rsidRDefault="00AB6491" w:rsidP="002F0D7F">
      <w:pPr>
        <w:bidi/>
        <w:rPr>
          <w:rFonts w:cs="B Lotus"/>
          <w:rtl/>
        </w:rPr>
      </w:pPr>
      <w:r>
        <w:rPr>
          <w:rFonts w:cs="B Lotus" w:hint="cs"/>
          <w:rtl/>
        </w:rPr>
        <w:t xml:space="preserve">احمد و همکارانش </w:t>
      </w:r>
      <w:commentRangeStart w:id="1"/>
      <w:r w:rsidRPr="00262069">
        <w:rPr>
          <w:rFonts w:cs="B Lotus"/>
          <w:rtl/>
        </w:rPr>
        <w:t xml:space="preserve">روش تصمیم گیری چند متغیری را که برای ارزیابی یک </w:t>
      </w:r>
      <w:r>
        <w:rPr>
          <w:rFonts w:cs="B Lotus" w:hint="cs"/>
          <w:rtl/>
        </w:rPr>
        <w:t>طرح</w:t>
      </w:r>
      <w:r w:rsidRPr="00262069">
        <w:rPr>
          <w:rFonts w:cs="B Lotus"/>
          <w:rtl/>
        </w:rPr>
        <w:t xml:space="preserve"> عملی برای </w:t>
      </w:r>
      <w:r>
        <w:rPr>
          <w:rFonts w:cs="B Lotus" w:hint="cs"/>
          <w:rtl/>
        </w:rPr>
        <w:t xml:space="preserve">توزیع </w:t>
      </w:r>
      <w:r w:rsidRPr="00262069">
        <w:rPr>
          <w:rFonts w:cs="B Lotus"/>
          <w:rtl/>
        </w:rPr>
        <w:t xml:space="preserve">تکنولوژی های انرژی تجدید پذیر در </w:t>
      </w:r>
      <w:r>
        <w:rPr>
          <w:rFonts w:cs="B Lotus"/>
          <w:rtl/>
        </w:rPr>
        <w:t xml:space="preserve">مقیاس منطقه ای استفاده </w:t>
      </w:r>
      <w:r>
        <w:rPr>
          <w:rFonts w:cs="B Lotus" w:hint="cs"/>
          <w:rtl/>
        </w:rPr>
        <w:t>کرده</w:t>
      </w:r>
      <w:r>
        <w:rPr>
          <w:rFonts w:cs="B Lotus"/>
          <w:rtl/>
        </w:rPr>
        <w:softHyphen/>
      </w:r>
      <w:r>
        <w:rPr>
          <w:rFonts w:cs="B Lotus" w:hint="cs"/>
          <w:rtl/>
        </w:rPr>
        <w:t>اند</w:t>
      </w:r>
      <w:r>
        <w:rPr>
          <w:rFonts w:cs="B Lotus"/>
          <w:rtl/>
        </w:rPr>
        <w:t>.</w:t>
      </w:r>
      <w:r w:rsidRPr="00262069">
        <w:rPr>
          <w:rFonts w:cs="B Lotus"/>
          <w:rtl/>
        </w:rPr>
        <w:t xml:space="preserve"> در این مقاله یک مطالعه موردی برای جزیره ساردینیا انجام شده است. پیش بینی شده است که سه سناریو تصمیم گیری وجود دارد، هر کدام یک مجموعه منسجم از اقدامات را بر اساس استراتژی های</w:t>
      </w:r>
      <w:r>
        <w:rPr>
          <w:rFonts w:cs="B Lotus" w:hint="cs"/>
          <w:rtl/>
        </w:rPr>
        <w:t xml:space="preserve"> توزیع</w:t>
      </w:r>
      <w:r w:rsidRPr="00262069">
        <w:rPr>
          <w:rFonts w:cs="B Lotus"/>
          <w:rtl/>
        </w:rPr>
        <w:t xml:space="preserve"> منتشر می کنند. در سناریو اول اولویت بالا به اثرات زیست محیطی اقدامات مورد بررسی اختصاص یافته است. در سناریوی دوم، جنبه های اقتصادی و اجتماعی تاکید می شود، در حالی که در سومین توجه به استراتژی های صرفه جوئی و اصلاح سیستم تولید انرژی متمرکز است. این رویکرد، از یک سو، باعث می شود که تصمیم گیرنده میزان آزادی بیشتری را به این معنا که قادر به اصلاح و تست چارچوب اولویت خود باشد. از سوی دیگر، با توجه به سناریوهای اولویت ها، امکان آزمایش "یکپارچگی" اقدامات را فراهم می کند</w:t>
      </w:r>
      <w:r w:rsidRPr="00262069">
        <w:rPr>
          <w:rFonts w:cs="B Lotus"/>
          <w:rtl/>
        </w:rPr>
        <w:fldChar w:fldCharType="begin" w:fldLock="1"/>
      </w:r>
      <w:r>
        <w:rPr>
          <w:rFonts w:cs="B Lotus"/>
        </w:rPr>
        <w:instrText>ADDIN CSL_CITATION { "citationItems" : [ { "id" : "ITEM-1", "itemData" : { "DOI" : "10.1016/j.enconman.2015.02.029", "ISSN" : "01968904", "abstract" : "This paper introduces a systematic methodology and corresponding tools to support the decision-making process for the integration of various improvement options, including new technologies, into existing mature processes. The proposed methodology was applied on a case study focusing on planning the capacity supply to meet the projected electricity demand for the fleet of electric generating stations owned and operated by Ontario Power Generation (OPG). A deterministic mixed integer linear program with a goal to minimize total annualized costs while satisfying various CO2 emission constraints was developed. The results show that achieving the CO2 emission mitigation goal while minimizing costs affects the configuration of the OPG fleet in terms of generation mix, capacity, selection of new technologies and optimal configuration with and without new technologies. By using new technologies including integrated gasification combined cycle (IGCC) and natural gas combined cycle (NGCC) with and without carbon capture and sequestration, the optimum electricity cost obtained was 1.1661 \u00a2/KW h at base caseload demand with 60% CO2 reduction.", "author" : [ { "dropping-particle" : "", "family" : "Ahmed", "given" : "Sajjad", "non-dropping-particle" : "", "parse-names" : false, "suffix" : "" }, { "dropping-particle" : "", "family" : "Elsholkami", "given" : "Mohamed", "non-dropping-particle" : "", "parse-names" : false, "suffix" : "" }, { "dropping-particle" : "", "family" : "Elkamel", "given" : "Ali", "non-dropping-particle" : "", "parse-names" : false, "suffix" : "" }, { "dropping-particle" : "", "family" : "Du", "given" : "Juan", "non-dropping-particle" : "", "parse-names" : false, "suffix" : "" }, { "dropping-particle" : "", "family" : "Ydstie", "given" : "Erik B.", "non-dropping-particle" : "", "parse-names" : false, "suffix" : "" }, { "dropping-particle" : "", "family" : "Douglas", "given" : "Peter L.", "non-dropping-particle" : "", "parse-names" : false, "suffix" : "" } ], "container-title" : "Energy Conversion and Management", "id" : "ITEM-1", "issued" : { "date-parts" : [ [ "2015" ] ] }, "page" : "170-180", "publisher" : "Elsevier Ltd", "title" : "New technology integration approach for energy planning with carbon emission considerations", "type" : "article-journal", "volume" : "95" }, "uris" : [ "http://www.mendeley.com/documents/?uuid=8c37f90a-aedd-40b2-85c5-8b751d6ef150" ] } ], "mendeley" : { "formattedCitation" : "(Ahmed et al., 2015)", "plainTextFormattedCitation" : "(Ahmed et al., 2015)", "previouslyFormattedCitation" : "(Ahmed et al., 2015)" }, "properties" : {  }, "schema" : "https://github.com/citation-style-language/schema/raw/master/csl-citation.json" }</w:instrText>
      </w:r>
      <w:r w:rsidRPr="00262069">
        <w:rPr>
          <w:rFonts w:cs="B Lotus"/>
          <w:rtl/>
        </w:rPr>
        <w:fldChar w:fldCharType="separate"/>
      </w:r>
      <w:r w:rsidRPr="00BB5C08">
        <w:rPr>
          <w:rFonts w:cs="B Lotus"/>
          <w:noProof/>
        </w:rPr>
        <w:t>(Ahmed et al., 2015)</w:t>
      </w:r>
      <w:r w:rsidRPr="00262069">
        <w:rPr>
          <w:rFonts w:cs="B Lotus"/>
          <w:rtl/>
        </w:rPr>
        <w:fldChar w:fldCharType="end"/>
      </w:r>
      <w:r w:rsidRPr="00262069">
        <w:rPr>
          <w:rFonts w:cs="B Lotus"/>
          <w:rtl/>
        </w:rPr>
        <w:t>.</w:t>
      </w:r>
      <w:commentRangeEnd w:id="1"/>
      <w:r>
        <w:rPr>
          <w:rStyle w:val="CommentReference"/>
          <w:rtl/>
        </w:rPr>
        <w:commentReference w:id="1"/>
      </w:r>
    </w:p>
    <w:p w14:paraId="2BD8400C" w14:textId="77777777" w:rsidR="00051559" w:rsidRDefault="00051559" w:rsidP="002F0D7F">
      <w:pPr>
        <w:bidi/>
        <w:rPr>
          <w:rFonts w:cs="Arial"/>
        </w:rPr>
      </w:pPr>
      <w:r>
        <w:rPr>
          <w:rFonts w:cs="Arial"/>
        </w:rPr>
        <w:t>Long term energy planning</w:t>
      </w:r>
    </w:p>
    <w:p w14:paraId="221DC89B" w14:textId="77777777" w:rsidR="00051559" w:rsidRDefault="00AB6491" w:rsidP="002F0D7F">
      <w:pPr>
        <w:bidi/>
      </w:pPr>
      <w:r>
        <w:rPr>
          <w:rFonts w:cs="B Lotus" w:hint="cs"/>
          <w:rtl/>
        </w:rPr>
        <w:t xml:space="preserve">تانگاویلو و همکارانش </w:t>
      </w:r>
      <w:r w:rsidRPr="00262069">
        <w:rPr>
          <w:rFonts w:cs="B Lotus"/>
          <w:rtl/>
        </w:rPr>
        <w:t xml:space="preserve">برای به حداقل رساندن خطرات، یک روش </w:t>
      </w:r>
      <w:r>
        <w:rPr>
          <w:rFonts w:cs="B Lotus" w:hint="cs"/>
          <w:rtl/>
        </w:rPr>
        <w:t xml:space="preserve">برای </w:t>
      </w:r>
      <w:r w:rsidRPr="00262069">
        <w:rPr>
          <w:rFonts w:cs="B Lotus"/>
          <w:rtl/>
        </w:rPr>
        <w:t>مدت حدود 15 سال ارائه کردند</w:t>
      </w:r>
      <w:r>
        <w:rPr>
          <w:rFonts w:cs="B Lotus"/>
        </w:rPr>
        <w:t xml:space="preserve">. </w:t>
      </w:r>
      <w:r w:rsidRPr="00262069">
        <w:rPr>
          <w:rFonts w:cs="B Lotus"/>
          <w:rtl/>
        </w:rPr>
        <w:t xml:space="preserve">روش پیشنهادی از بهینه سازی تصادفی </w:t>
      </w:r>
      <w:r>
        <w:rPr>
          <w:rFonts w:cs="B Lotus" w:hint="cs"/>
          <w:rtl/>
          <w:lang w:bidi="fa-IR"/>
        </w:rPr>
        <w:t xml:space="preserve">است که </w:t>
      </w:r>
      <w:r w:rsidRPr="00262069">
        <w:rPr>
          <w:rFonts w:cs="B Lotus"/>
          <w:rtl/>
        </w:rPr>
        <w:t xml:space="preserve"> معیارهای مورد نظر مانند امنیت انرژی و هزینه ها را به حداقل می رساند. روش پیشنهادی با استفاده از یک مطالعه موردی برای یک منطقه جنوب شرقی آسیا با منابع متنوع سوخت شامل باد، خورشیدی، زمین گرمایی، ذغال سنگ، جیوه زیستی و گاز طبیعی و غیره اعتبارسنجی شده است. </w:t>
      </w:r>
      <w:r w:rsidRPr="00262069">
        <w:rPr>
          <w:rFonts w:cs="B Lotus" w:hint="cs"/>
          <w:rtl/>
        </w:rPr>
        <w:t>از</w:t>
      </w:r>
      <w:r w:rsidRPr="00262069">
        <w:rPr>
          <w:rFonts w:cs="B Lotus"/>
          <w:rtl/>
        </w:rPr>
        <w:t xml:space="preserve"> </w:t>
      </w:r>
      <w:r w:rsidRPr="00262069">
        <w:rPr>
          <w:rFonts w:cs="B Lotus" w:hint="cs"/>
          <w:rtl/>
        </w:rPr>
        <w:t>جمله</w:t>
      </w:r>
      <w:r w:rsidRPr="00262069">
        <w:rPr>
          <w:rFonts w:cs="B Lotus"/>
          <w:rtl/>
        </w:rPr>
        <w:t xml:space="preserve"> </w:t>
      </w:r>
      <w:r w:rsidRPr="00262069">
        <w:rPr>
          <w:rFonts w:cs="B Lotus" w:hint="cs"/>
          <w:rtl/>
        </w:rPr>
        <w:t>گزینه</w:t>
      </w:r>
      <w:r w:rsidRPr="00262069">
        <w:rPr>
          <w:rFonts w:cs="B Lotus"/>
          <w:rtl/>
        </w:rPr>
        <w:t xml:space="preserve"> </w:t>
      </w:r>
      <w:r w:rsidRPr="00262069">
        <w:rPr>
          <w:rFonts w:cs="B Lotus" w:hint="cs"/>
          <w:rtl/>
        </w:rPr>
        <w:t>هسته</w:t>
      </w:r>
      <w:r w:rsidRPr="00262069">
        <w:rPr>
          <w:rFonts w:cs="B Lotus"/>
          <w:rtl/>
        </w:rPr>
        <w:t xml:space="preserve"> </w:t>
      </w:r>
      <w:r w:rsidRPr="00262069">
        <w:rPr>
          <w:rFonts w:cs="B Lotus" w:hint="cs"/>
          <w:rtl/>
        </w:rPr>
        <w:t>ای</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ترکیب</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کاهش</w:t>
      </w:r>
      <w:r w:rsidRPr="00262069">
        <w:rPr>
          <w:rFonts w:cs="B Lotus"/>
          <w:rtl/>
        </w:rPr>
        <w:t xml:space="preserve"> 26.7 </w:t>
      </w:r>
      <w:r w:rsidRPr="00262069">
        <w:rPr>
          <w:rFonts w:cs="B Lotus" w:hint="cs"/>
          <w:rtl/>
        </w:rPr>
        <w:t>درصدی</w:t>
      </w:r>
      <w:r w:rsidRPr="00262069">
        <w:rPr>
          <w:rFonts w:cs="B Lotus"/>
          <w:rtl/>
        </w:rPr>
        <w:t xml:space="preserve"> </w:t>
      </w:r>
      <w:r w:rsidRPr="00262069">
        <w:rPr>
          <w:rFonts w:cs="B Lotus" w:hint="cs"/>
          <w:rtl/>
        </w:rPr>
        <w:t>هزینه</w:t>
      </w:r>
      <w:r w:rsidRPr="00262069">
        <w:rPr>
          <w:rFonts w:cs="B Lotus"/>
          <w:rtl/>
        </w:rPr>
        <w:t xml:space="preserve"> </w:t>
      </w:r>
      <w:r w:rsidRPr="00262069">
        <w:rPr>
          <w:rFonts w:cs="B Lotus" w:hint="cs"/>
          <w:rtl/>
        </w:rPr>
        <w:t>کل</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کاهش</w:t>
      </w:r>
      <w:r w:rsidRPr="00262069">
        <w:rPr>
          <w:rFonts w:cs="B Lotus"/>
          <w:rtl/>
        </w:rPr>
        <w:t xml:space="preserve"> 53.2 </w:t>
      </w:r>
      <w:r w:rsidRPr="00262069">
        <w:rPr>
          <w:rFonts w:cs="B Lotus" w:hint="cs"/>
          <w:rtl/>
        </w:rPr>
        <w:t>درصدی</w:t>
      </w:r>
      <w:r w:rsidRPr="00262069">
        <w:rPr>
          <w:rFonts w:cs="B Lotus"/>
          <w:rtl/>
        </w:rPr>
        <w:t xml:space="preserve"> </w:t>
      </w:r>
      <w:r w:rsidRPr="00262069">
        <w:rPr>
          <w:rFonts w:cs="B Lotus" w:hint="cs"/>
          <w:rtl/>
        </w:rPr>
        <w:t>انتشار</w:t>
      </w:r>
      <w:r w:rsidRPr="00262069">
        <w:rPr>
          <w:rFonts w:cs="B Lotus"/>
          <w:rtl/>
        </w:rPr>
        <w:t xml:space="preserve"> </w:t>
      </w:r>
      <w:r w:rsidRPr="00262069">
        <w:rPr>
          <w:rFonts w:cs="B Lotus" w:hint="cs"/>
          <w:rtl/>
        </w:rPr>
        <w:t>گازهای</w:t>
      </w:r>
      <w:r w:rsidRPr="00262069">
        <w:rPr>
          <w:rFonts w:cs="B Lotus"/>
          <w:rtl/>
        </w:rPr>
        <w:t xml:space="preserve"> </w:t>
      </w:r>
      <w:r w:rsidRPr="00262069">
        <w:rPr>
          <w:rFonts w:cs="B Lotus" w:hint="cs"/>
          <w:rtl/>
        </w:rPr>
        <w:t>گلخانه</w:t>
      </w:r>
      <w:r w:rsidRPr="00262069">
        <w:rPr>
          <w:rFonts w:cs="B Lotus"/>
          <w:rtl/>
        </w:rPr>
        <w:t xml:space="preserve"> </w:t>
      </w:r>
      <w:r w:rsidRPr="00262069">
        <w:rPr>
          <w:rFonts w:cs="B Lotus" w:hint="cs"/>
          <w:rtl/>
        </w:rPr>
        <w:t>ای</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تضمین</w:t>
      </w:r>
      <w:r w:rsidRPr="00262069">
        <w:rPr>
          <w:rFonts w:cs="B Lotus"/>
          <w:rtl/>
        </w:rPr>
        <w:t xml:space="preserve"> </w:t>
      </w:r>
      <w:r w:rsidRPr="00262069">
        <w:rPr>
          <w:rFonts w:cs="B Lotus" w:hint="cs"/>
          <w:rtl/>
        </w:rPr>
        <w:t>امکان</w:t>
      </w:r>
      <w:r w:rsidRPr="00262069">
        <w:rPr>
          <w:rFonts w:cs="B Lotus"/>
          <w:rtl/>
        </w:rPr>
        <w:t xml:space="preserve"> </w:t>
      </w:r>
      <w:r w:rsidRPr="00262069">
        <w:rPr>
          <w:rFonts w:cs="B Lotus" w:hint="cs"/>
          <w:rtl/>
        </w:rPr>
        <w:t>دستیابی</w:t>
      </w:r>
      <w:r w:rsidRPr="00262069">
        <w:rPr>
          <w:rFonts w:cs="B Lotus"/>
          <w:rtl/>
        </w:rPr>
        <w:t xml:space="preserve"> </w:t>
      </w:r>
      <w:r w:rsidRPr="00262069">
        <w:rPr>
          <w:rFonts w:cs="B Lotus" w:hint="cs"/>
          <w:rtl/>
        </w:rPr>
        <w:t>به</w:t>
      </w:r>
      <w:r w:rsidRPr="00262069">
        <w:rPr>
          <w:rFonts w:cs="B Lotus"/>
          <w:rtl/>
        </w:rPr>
        <w:t xml:space="preserve"> 79 </w:t>
      </w:r>
      <w:r w:rsidRPr="00262069">
        <w:rPr>
          <w:rFonts w:cs="B Lotus" w:hint="cs"/>
          <w:rtl/>
        </w:rPr>
        <w:t>درصد</w:t>
      </w:r>
      <w:r w:rsidRPr="00262069">
        <w:rPr>
          <w:rFonts w:cs="B Lotus"/>
          <w:rtl/>
        </w:rPr>
        <w:t xml:space="preserve"> </w:t>
      </w:r>
      <w:r w:rsidRPr="00262069">
        <w:rPr>
          <w:rFonts w:cs="B Lotus" w:hint="cs"/>
          <w:rtl/>
        </w:rPr>
        <w:t>ا</w:t>
      </w:r>
      <w:r w:rsidRPr="00262069">
        <w:rPr>
          <w:rFonts w:cs="B Lotus"/>
          <w:rtl/>
        </w:rPr>
        <w:t>ز سناریوهای تقاضای انرژی در آینده طی یک افق</w:t>
      </w:r>
      <w:r>
        <w:rPr>
          <w:rFonts w:cs="B Lotus" w:hint="cs"/>
          <w:rtl/>
        </w:rPr>
        <w:t xml:space="preserve"> طرح</w:t>
      </w:r>
      <w:r>
        <w:rPr>
          <w:rFonts w:cs="B Lotus"/>
          <w:rtl/>
        </w:rPr>
        <w:softHyphen/>
      </w:r>
      <w:r w:rsidRPr="00262069">
        <w:rPr>
          <w:rFonts w:cs="B Lotus"/>
          <w:rtl/>
        </w:rPr>
        <w:t>ریزی 15 ساله را به دنبال دارد</w:t>
      </w:r>
      <w:r w:rsidRPr="00262069">
        <w:rPr>
          <w:rFonts w:cs="B Lotus"/>
          <w:rtl/>
        </w:rPr>
        <w:fldChar w:fldCharType="begin" w:fldLock="1"/>
      </w:r>
      <w:r>
        <w:rPr>
          <w:rFonts w:cs="B Lotus"/>
        </w:rPr>
        <w:instrText>ADDIN CSL_CITATION { "citationItems" : [ { "id" : "ITEM-1", "itemData" : { "DOI" : "10.1016/j.apenergy.2015.05.087", "ISSN" : "03062619", "abstract" : "Conventional energy planning focused on energy cost, GHG emission and renewable contribution based on future energy demand, fuel price, etc. Uncertainty in the projected variables such as energy demand, volatile fuel price and evolution of renewable technologies will influence the cost of energy when projected over a period of 15-30. years. Inaccurate projected variables could affect energy security and lead to the risk of high energy cost, high emission and low energy security. The energy security is an ability of generation capacity to meet the future energy demand. In order to minimize the risks, a generic methodology is presented to determine an optimal energy mix for a period of around 15. years. The proposed optimal energy mix is a right combination of energy sources that minimize the risk caused due to future uncertainties related to the energy sources. The proposed methodology uses stochastic optimization to address future uncertainties over a planning horizon and minimize the variations in the desired performance criteria such as energy security and costs. The developed methodology is validated using a case study for a South East Asian region with diverse fuel sources consists of wind, solar, geothermal, coal, biomass and natural gas, etc. The derived optimal energy mix decision outperformed the conventional energy planning by remaining stable and feasible against 79% of future energy demand scenarios at the expense of 0-10% increase in the energy cost. Including the nuclear option in the energy mix resulted 26.7% reduction in the total energy cost, 53.2% reduction in the GHG emission and guarantees feasibility against 79% of future energy demand scenarios over a 15. year planning horizon.", "author" : [ { "dropping-particle" : "", "family" : "Thangavelu", "given" : "Sundar Raj", "non-dropping-particle" : "", "parse-names" : false, "suffix" : "" }, { "dropping-particle" : "", "family" : "Khambadkone", "given" : "Ashwin M.", "non-dropping-particle" : "", "parse-names" : false, "suffix" : "" }, { "dropping-particle" : "", "family" : "Karimi", "given" : "Iftekhar A.", "non-dropping-particle" : "", "parse-names" : false, "suffix" : "" } ], "container-title" : "Applied Energy", "id" : "ITEM-1", "issued" : { "date-parts" : [ [ "2015" ] ] }, "page" : "959-969", "publisher" : "Elsevier Ltd", "title" : "Long-term optimal energy mix planning towards high energy security and low GHG emission", "type" : "article-journal", "volume" : "154" }, "uris" : [ "http://www.mendeley.com/documents/?uuid=b0227ada-fd35-48df-bfd1-a3dece4f1094" ] } ], "mendeley" : { "formattedCitation" : "(Thangavelu, Khambadkone, &amp; Karimi, 2015)", "plainTextFormattedCitation" : "(Thangavelu, Khambadkone, &amp; Karimi, 2015)", "previouslyFormattedCitation" : "(Thangavelu, Khambadkone, &amp; Karimi, 2015)" }, "properties" : {  }, "schema" : "https://github.com/citation-style-language/schema/raw/master/csl-citation.json" }</w:instrText>
      </w:r>
      <w:r w:rsidRPr="00262069">
        <w:rPr>
          <w:rFonts w:cs="B Lotus"/>
          <w:rtl/>
        </w:rPr>
        <w:fldChar w:fldCharType="separate"/>
      </w:r>
      <w:r w:rsidRPr="00BB5C08">
        <w:rPr>
          <w:rFonts w:cs="B Lotus"/>
          <w:noProof/>
        </w:rPr>
        <w:t>(Thangavelu, Khambadkone, &amp; Karimi, 2015)</w:t>
      </w:r>
      <w:r w:rsidRPr="00262069">
        <w:rPr>
          <w:rFonts w:cs="B Lotus"/>
          <w:rtl/>
        </w:rPr>
        <w:fldChar w:fldCharType="end"/>
      </w:r>
      <w:r>
        <w:rPr>
          <w:rFonts w:cs="B Lotus" w:hint="cs"/>
          <w:rtl/>
        </w:rPr>
        <w:t>.</w:t>
      </w:r>
      <w:r>
        <w:rPr>
          <w:rFonts w:cs="B Lotus"/>
          <w:rtl/>
        </w:rPr>
        <w:t xml:space="preserve"> </w:t>
      </w:r>
      <w:r>
        <w:rPr>
          <w:rFonts w:cs="B Lotus" w:hint="cs"/>
          <w:rtl/>
        </w:rPr>
        <w:t xml:space="preserve"> </w:t>
      </w:r>
    </w:p>
    <w:p w14:paraId="6BA59748" w14:textId="77777777" w:rsidR="00AB6491" w:rsidRDefault="00AB6491" w:rsidP="002F0D7F">
      <w:pPr>
        <w:pStyle w:val="NormalWeb"/>
        <w:bidi/>
        <w:spacing w:before="0" w:beforeAutospacing="0" w:after="0" w:afterAutospacing="0"/>
        <w:jc w:val="both"/>
        <w:rPr>
          <w:rFonts w:cs="B Lotus"/>
          <w:rtl/>
        </w:rPr>
      </w:pPr>
      <w:r>
        <w:rPr>
          <w:rFonts w:cs="B Lotus" w:hint="cs"/>
          <w:rtl/>
        </w:rPr>
        <w:t>پریبگ و همکاران</w:t>
      </w:r>
      <w:r w:rsidRPr="00262069">
        <w:rPr>
          <w:rFonts w:cs="B Lotus"/>
          <w:rtl/>
        </w:rPr>
        <w:t xml:space="preserve"> یک رویکرد پیشنهادی دوطرفه با بهینه سازی چند هدفه در سطح جهانی، برای طراحی یک سیستم انرژی کرواسی (</w:t>
      </w:r>
      <w:r w:rsidRPr="00262069">
        <w:rPr>
          <w:rFonts w:cs="B Lotus"/>
        </w:rPr>
        <w:t>CES</w:t>
      </w:r>
      <w:r w:rsidRPr="00262069">
        <w:rPr>
          <w:rFonts w:cs="B Lotus"/>
          <w:rtl/>
        </w:rPr>
        <w:t>)</w:t>
      </w:r>
      <w:r>
        <w:rPr>
          <w:rFonts w:cs="B Lotus" w:hint="cs"/>
          <w:rtl/>
          <w:lang w:bidi="fa-IR"/>
        </w:rPr>
        <w:t>ارائه کرده</w:t>
      </w:r>
      <w:r>
        <w:rPr>
          <w:rFonts w:cs="B Lotus"/>
          <w:rtl/>
          <w:lang w:bidi="fa-IR"/>
        </w:rPr>
        <w:softHyphen/>
      </w:r>
      <w:r>
        <w:rPr>
          <w:rFonts w:cs="B Lotus" w:hint="cs"/>
          <w:rtl/>
          <w:lang w:bidi="fa-IR"/>
        </w:rPr>
        <w:t>اند</w:t>
      </w:r>
      <w:r w:rsidRPr="00262069">
        <w:rPr>
          <w:rFonts w:cs="B Lotus"/>
          <w:rtl/>
        </w:rPr>
        <w:t>، که در آن وسایل الکتریکی (</w:t>
      </w:r>
      <w:r w:rsidRPr="00262069">
        <w:rPr>
          <w:rFonts w:cs="B Lotus"/>
        </w:rPr>
        <w:t>EVs</w:t>
      </w:r>
      <w:r w:rsidRPr="00262069">
        <w:rPr>
          <w:rFonts w:cs="B Lotus"/>
          <w:rtl/>
        </w:rPr>
        <w:t>) به عنوان ذخیره سازی باتری در خودرو به شبکه حالت (</w:t>
      </w:r>
      <w:r w:rsidRPr="00262069">
        <w:rPr>
          <w:rFonts w:cs="B Lotus"/>
        </w:rPr>
        <w:t>V2G</w:t>
      </w:r>
      <w:r w:rsidRPr="00262069">
        <w:rPr>
          <w:rFonts w:cs="B Lotus"/>
          <w:rtl/>
        </w:rPr>
        <w:t>) ، برای یک سناریو بین 2015 و 2050در نظر گرفته شده است. علاوه بر این، مطالعه مورد شامل نه نیروگاه آبی مرکب،</w:t>
      </w:r>
      <w:r>
        <w:rPr>
          <w:rFonts w:cs="B Lotus" w:hint="cs"/>
          <w:rtl/>
        </w:rPr>
        <w:t xml:space="preserve"> متعلق به</w:t>
      </w:r>
      <w:r>
        <w:rPr>
          <w:rFonts w:cs="B Lotus"/>
          <w:rtl/>
        </w:rPr>
        <w:t xml:space="preserve"> هر حوضه رودخا</w:t>
      </w:r>
      <w:r>
        <w:rPr>
          <w:rFonts w:cs="B Lotus" w:hint="cs"/>
          <w:rtl/>
        </w:rPr>
        <w:t>نه</w:t>
      </w:r>
      <w:r>
        <w:rPr>
          <w:rFonts w:cs="B Lotus" w:hint="cs"/>
          <w:rtl/>
          <w:lang w:bidi="fa-IR"/>
        </w:rPr>
        <w:t xml:space="preserve"> </w:t>
      </w:r>
      <w:r w:rsidRPr="00262069">
        <w:rPr>
          <w:rFonts w:cs="B Lotus"/>
          <w:rtl/>
        </w:rPr>
        <w:t xml:space="preserve"> </w:t>
      </w:r>
      <w:r>
        <w:rPr>
          <w:rFonts w:cs="B Lotus" w:hint="cs"/>
          <w:rtl/>
        </w:rPr>
        <w:t xml:space="preserve">و </w:t>
      </w:r>
      <w:r w:rsidRPr="00262069">
        <w:rPr>
          <w:rFonts w:cs="B Lotus"/>
          <w:rtl/>
        </w:rPr>
        <w:t xml:space="preserve">همچنین شامل </w:t>
      </w:r>
      <w:r>
        <w:rPr>
          <w:rFonts w:cs="B Lotus"/>
          <w:rtl/>
        </w:rPr>
        <w:t>نیروگاه های خورشیدی و باد است</w:t>
      </w:r>
      <w:r>
        <w:rPr>
          <w:rFonts w:cs="B Lotus" w:hint="cs"/>
          <w:rtl/>
          <w:lang w:bidi="fa-IR"/>
        </w:rPr>
        <w:t xml:space="preserve">. </w:t>
      </w:r>
      <w:r w:rsidRPr="00262069">
        <w:rPr>
          <w:rFonts w:cs="B Lotus"/>
          <w:rtl/>
        </w:rPr>
        <w:t xml:space="preserve">سطح خاصی از منابع انرژی متعارف باید در سیستم انرژی برای پوشش شرایط نامساعد آب و هوایی و برای پوشش دادن حرارت تقاضا همچنین، سهم </w:t>
      </w:r>
      <w:r w:rsidRPr="00262069">
        <w:rPr>
          <w:rFonts w:cs="B Lotus"/>
        </w:rPr>
        <w:t>RES</w:t>
      </w:r>
      <w:r w:rsidRPr="00262069">
        <w:rPr>
          <w:rFonts w:cs="B Lotus"/>
          <w:rtl/>
        </w:rPr>
        <w:t xml:space="preserve"> بیشتر دارای فاکتور بار کل سیستم انرژی پایین و ظرفیت نصب شده به طور قابل توجهی بالاتر است. </w:t>
      </w:r>
      <w:r w:rsidRPr="00262069">
        <w:rPr>
          <w:rFonts w:cs="B Lotus"/>
          <w:rtl/>
        </w:rPr>
        <w:fldChar w:fldCharType="begin" w:fldLock="1"/>
      </w:r>
      <w:r>
        <w:rPr>
          <w:rFonts w:cs="B Lotus"/>
        </w:rPr>
        <w:instrText>ADDIN CSL_CITATION { "citationItems" : [ { "id" : "ITEM-1", "itemData" : { "DOI" : "10.1016/j.apenergy.2016.03.086", "ISSN" : "03062619", "abstract" : "Due to the stochastic nature and variability of renewable energy sources (RES), it is necessary to integrate still expensive storage capacities into an energy system with a high share of RES and to model appropriate energy market. The study presented here considers all energy carriers, however, only the electricity carrier is modeled in detail, with notion taken for the heating demand that is covered but without proper modeling of storage. A proposed two-level approach with multi-objective optimization on the global level, was used to design a Croatian Energy System (CES), where electric vehicles (EVs) are integrated to serve as battery storage in Vehicle-to-Grid (V2G) mode, for a scenario between 2015 and 2050. In addition, case study includes nine aggregated hydro power plants, one for each river basin in Croatia. Also, case study includes solar and wind power plants modeled for six locations in Croatia: Osijek, Zagreb, Rijeka, Sibenik, Split and Dubrovnik. The resulting Pareto front suggests that with assumed future costs of fuels and technology certain level of conventional energy sources will have to remain in the energy system to take into the account unfavourable weather conditions and to cover heating demand, which also results in significantly lower load factors for those power plants. Also, variants with more RES share have lower total energy system load factor and significantly higher installed capacity.", "author" : [ { "dropping-particle" : "", "family" : "Prebeg", "given" : "Pero", "non-dropping-particle" : "", "parse-names" : false, "suffix" : "" }, { "dropping-particle" : "", "family" : "Gasparovic", "given" : "Goran", "non-dropping-particle" : "", "parse-names" : false, "suffix" : "" }, { "dropping-particle" : "", "family" : "Krajacic", "given" : "Goran", "non-dropping-particle" : "", "parse-names" : false, "suffix" : "" }, { "dropping-particle" : "", "family" : "Duic", "given" : "Neven", "non-dropping-particle" : "", "parse-names" : false, "suffix" : "" } ], "container-title" : "Applied Energy", "id" : "ITEM-1", "issued" : { "date-parts" : [ [ "2016" ] ] }, "page" : "1493-1507", "publisher" : "Elsevier Ltd", "title" : "Long-term energy planning of Croatian power system using multi-objective optimization with focus on renewable energy and integration of electric vehicles", "type" : "article-journal", "volume" : "184" }, "uris" : [ "http://www.mendeley.com/documents/?uuid=6ca13c0a-b0f8-4ec7-9e3f-feca8d2016c0" ] } ], "mendeley" : { "formattedCitation" : "(Prebeg, Gasparovic, Krajacic, &amp; Duic, 2016)", "plainTextFormattedCitation" : "(Prebeg, Gasparovic, Krajacic, &amp; Duic, 2016)", "previouslyFormattedCitation" : "(Prebeg, Gasparovic, Krajacic, &amp; Duic, 2016)" }, "properties" : {  }, "schema" : "https://github.com/citation-style-language/schema/raw/master/csl-citation.json" }</w:instrText>
      </w:r>
      <w:r w:rsidRPr="00262069">
        <w:rPr>
          <w:rFonts w:cs="B Lotus"/>
          <w:rtl/>
        </w:rPr>
        <w:fldChar w:fldCharType="separate"/>
      </w:r>
      <w:r w:rsidRPr="00BB5C08">
        <w:rPr>
          <w:rFonts w:cs="B Lotus"/>
          <w:noProof/>
        </w:rPr>
        <w:t>(Prebeg, Gasparovic, Krajacic, &amp; Duic, 2016)</w:t>
      </w:r>
      <w:r w:rsidRPr="00262069">
        <w:rPr>
          <w:rFonts w:cs="B Lotus"/>
          <w:rtl/>
        </w:rPr>
        <w:fldChar w:fldCharType="end"/>
      </w:r>
      <w:r w:rsidRPr="00262069">
        <w:rPr>
          <w:rFonts w:cs="B Lotus"/>
          <w:rtl/>
        </w:rPr>
        <w:t>.</w:t>
      </w:r>
    </w:p>
    <w:p w14:paraId="4AA98F1B" w14:textId="77777777" w:rsidR="00AB6491" w:rsidRPr="00835919" w:rsidRDefault="00AB6491" w:rsidP="002F0D7F">
      <w:pPr>
        <w:bidi/>
        <w:rPr>
          <w:rFonts w:cs="B Lotus"/>
        </w:rPr>
      </w:pPr>
    </w:p>
    <w:p w14:paraId="65E3D2A7" w14:textId="77777777" w:rsidR="00356F0D" w:rsidRDefault="00356F0D" w:rsidP="002F0D7F">
      <w:pPr>
        <w:bidi/>
        <w:rPr>
          <w:rFonts w:cs="Arial"/>
        </w:rPr>
      </w:pPr>
      <w:r>
        <w:rPr>
          <w:rFonts w:cs="Arial"/>
        </w:rPr>
        <w:t>Multi-criteria</w:t>
      </w:r>
    </w:p>
    <w:p w14:paraId="70153452" w14:textId="77777777" w:rsidR="00AB6491" w:rsidRDefault="00AB6491" w:rsidP="002F0D7F">
      <w:pPr>
        <w:bidi/>
        <w:rPr>
          <w:rFonts w:cs="B Lotus"/>
          <w:rtl/>
        </w:rPr>
      </w:pPr>
      <w:r>
        <w:rPr>
          <w:rFonts w:cs="B Lotus" w:hint="cs"/>
          <w:rtl/>
        </w:rPr>
        <w:t xml:space="preserve">احمد و همکارانش </w:t>
      </w:r>
      <w:commentRangeStart w:id="2"/>
      <w:r w:rsidRPr="00262069">
        <w:rPr>
          <w:rFonts w:cs="B Lotus"/>
          <w:rtl/>
        </w:rPr>
        <w:t xml:space="preserve">روش تصمیم گیری چند متغیری را که برای ارزیابی یک </w:t>
      </w:r>
      <w:r>
        <w:rPr>
          <w:rFonts w:cs="B Lotus" w:hint="cs"/>
          <w:rtl/>
        </w:rPr>
        <w:t>طرح</w:t>
      </w:r>
      <w:r w:rsidRPr="00262069">
        <w:rPr>
          <w:rFonts w:cs="B Lotus"/>
          <w:rtl/>
        </w:rPr>
        <w:t xml:space="preserve"> عملی برای </w:t>
      </w:r>
      <w:r>
        <w:rPr>
          <w:rFonts w:cs="B Lotus" w:hint="cs"/>
          <w:rtl/>
        </w:rPr>
        <w:t xml:space="preserve">توزیع </w:t>
      </w:r>
      <w:r w:rsidRPr="00262069">
        <w:rPr>
          <w:rFonts w:cs="B Lotus"/>
          <w:rtl/>
        </w:rPr>
        <w:t xml:space="preserve">تکنولوژی های انرژی تجدید پذیر در </w:t>
      </w:r>
      <w:r>
        <w:rPr>
          <w:rFonts w:cs="B Lotus"/>
          <w:rtl/>
        </w:rPr>
        <w:t xml:space="preserve">مقیاس منطقه ای استفاده </w:t>
      </w:r>
      <w:r>
        <w:rPr>
          <w:rFonts w:cs="B Lotus" w:hint="cs"/>
          <w:rtl/>
        </w:rPr>
        <w:t>کرده</w:t>
      </w:r>
      <w:r>
        <w:rPr>
          <w:rFonts w:cs="B Lotus"/>
          <w:rtl/>
        </w:rPr>
        <w:softHyphen/>
      </w:r>
      <w:r>
        <w:rPr>
          <w:rFonts w:cs="B Lotus" w:hint="cs"/>
          <w:rtl/>
        </w:rPr>
        <w:t>اند</w:t>
      </w:r>
      <w:r>
        <w:rPr>
          <w:rFonts w:cs="B Lotus"/>
          <w:rtl/>
        </w:rPr>
        <w:t>.</w:t>
      </w:r>
      <w:r w:rsidRPr="00262069">
        <w:rPr>
          <w:rFonts w:cs="B Lotus"/>
          <w:rtl/>
        </w:rPr>
        <w:t xml:space="preserve"> در این مقاله یک مطالعه موردی برای جزیره ساردینیا انجام شده است. پیش بینی شده است که سه سناریو تصمیم گیری وجود دارد، هر کدام یک مجموعه منسجم از اقدامات را بر اساس استراتژی های</w:t>
      </w:r>
      <w:r>
        <w:rPr>
          <w:rFonts w:cs="B Lotus" w:hint="cs"/>
          <w:rtl/>
        </w:rPr>
        <w:t xml:space="preserve"> توزیع</w:t>
      </w:r>
      <w:r w:rsidRPr="00262069">
        <w:rPr>
          <w:rFonts w:cs="B Lotus"/>
          <w:rtl/>
        </w:rPr>
        <w:t xml:space="preserve"> منتشر می کنند. در سناریو اول اولویت بالا به اثرات زیست محیطی اقدامات مورد بررسی اختصاص یافته است. در سناریوی دوم، جنبه های اقتصادی و اجتماعی تاکید می شود، در حالی که در سومین توجه به استراتژی های صرفه جوئی و اصلاح سیستم تولید انرژی متمرکز است. این رویکرد، از یک سو، باعث می شود </w:t>
      </w:r>
      <w:r w:rsidRPr="00262069">
        <w:rPr>
          <w:rFonts w:cs="B Lotus"/>
          <w:rtl/>
        </w:rPr>
        <w:lastRenderedPageBreak/>
        <w:t>که تصمیم گیرنده میزان آزادی بیشتری را به این معنا که قادر به اصلاح و تست چارچوب اولویت خود باشد. از سوی دیگر، با توجه به سناریوهای اولویت ها، امکان آزمایش "یکپارچگی" اقدامات را فراهم می کند</w:t>
      </w:r>
      <w:r w:rsidRPr="00262069">
        <w:rPr>
          <w:rFonts w:cs="B Lotus"/>
          <w:rtl/>
        </w:rPr>
        <w:fldChar w:fldCharType="begin" w:fldLock="1"/>
      </w:r>
      <w:r>
        <w:rPr>
          <w:rFonts w:cs="B Lotus"/>
        </w:rPr>
        <w:instrText>ADDIN CSL_CITATION { "citationItems" : [ { "id" : "ITEM-1", "itemData" : { "DOI" : "10.1016/j.enconman.2015.02.029", "ISSN" : "01968904", "abstract" : "This paper introduces a systematic methodology and corresponding tools to support the decision-making process for the integration of various improvement options, including new technologies, into existing mature processes. The proposed methodology was applied on a case study focusing on planning the capacity supply to meet the projected electricity demand for the fleet of electric generating stations owned and operated by Ontario Power Generation (OPG). A deterministic mixed integer linear program with a goal to minimize total annualized costs while satisfying various CO2 emission constraints was developed. The results show that achieving the CO2 emission mitigation goal while minimizing costs affects the configuration of the OPG fleet in terms of generation mix, capacity, selection of new technologies and optimal configuration with and without new technologies. By using new technologies including integrated gasification combined cycle (IGCC) and natural gas combined cycle (NGCC) with and without carbon capture and sequestration, the optimum electricity cost obtained was 1.1661 \u00a2/KW h at base caseload demand with 60% CO2 reduction.", "author" : [ { "dropping-particle" : "", "family" : "Ahmed", "given" : "Sajjad", "non-dropping-particle" : "", "parse-names" : false, "suffix" : "" }, { "dropping-particle" : "", "family" : "Elsholkami", "given" : "Mohamed", "non-dropping-particle" : "", "parse-names" : false, "suffix" : "" }, { "dropping-particle" : "", "family" : "Elkamel", "given" : "Ali", "non-dropping-particle" : "", "parse-names" : false, "suffix" : "" }, { "dropping-particle" : "", "family" : "Du", "given" : "Juan", "non-dropping-particle" : "", "parse-names" : false, "suffix" : "" }, { "dropping-particle" : "", "family" : "Ydstie", "given" : "Erik B.", "non-dropping-particle" : "", "parse-names" : false, "suffix" : "" }, { "dropping-particle" : "", "family" : "Douglas", "given" : "Peter L.", "non-dropping-particle" : "", "parse-names" : false, "suffix" : "" } ], "container-title" : "Energy Conversion and Management", "id" : "ITEM-1", "issued" : { "date-parts" : [ [ "2015" ] ] }, "page" : "170-180", "publisher" : "Elsevier Ltd", "title" : "New technology integration approach for energy planning with carbon emission considerations", "type" : "article-journal", "volume" : "95" }, "uris" : [ "http://www.mendeley.com/documents/?uuid=8c37f90a-aedd-40b2-85c5-8b751d6ef150" ] } ], "mendeley" : { "formattedCitation" : "(Ahmed et al., 2015)", "plainTextFormattedCitation" : "(Ahmed et al., 2015)", "previouslyFormattedCitation" : "(Ahmed et al., 2015)" }, "properties" : {  }, "schema" : "https://github.com/citation-style-language/schema/raw/master/csl-citation.json" }</w:instrText>
      </w:r>
      <w:r w:rsidRPr="00262069">
        <w:rPr>
          <w:rFonts w:cs="B Lotus"/>
          <w:rtl/>
        </w:rPr>
        <w:fldChar w:fldCharType="separate"/>
      </w:r>
      <w:r w:rsidRPr="00BB5C08">
        <w:rPr>
          <w:rFonts w:cs="B Lotus"/>
          <w:noProof/>
        </w:rPr>
        <w:t>(Ahmed et al., 2015)</w:t>
      </w:r>
      <w:r w:rsidRPr="00262069">
        <w:rPr>
          <w:rFonts w:cs="B Lotus"/>
          <w:rtl/>
        </w:rPr>
        <w:fldChar w:fldCharType="end"/>
      </w:r>
      <w:r w:rsidRPr="00262069">
        <w:rPr>
          <w:rFonts w:cs="B Lotus"/>
          <w:rtl/>
        </w:rPr>
        <w:t>.</w:t>
      </w:r>
      <w:commentRangeEnd w:id="2"/>
      <w:r>
        <w:rPr>
          <w:rStyle w:val="CommentReference"/>
          <w:rtl/>
        </w:rPr>
        <w:commentReference w:id="2"/>
      </w:r>
    </w:p>
    <w:p w14:paraId="78851DF4" w14:textId="77777777" w:rsidR="00AB6491" w:rsidRDefault="00AB6491" w:rsidP="002F0D7F">
      <w:pPr>
        <w:bidi/>
        <w:rPr>
          <w:rFonts w:cs="B Lotus"/>
          <w:rtl/>
          <w:lang w:bidi="fa-IR"/>
        </w:rPr>
      </w:pPr>
      <w:r w:rsidRPr="00262069">
        <w:rPr>
          <w:rFonts w:cs="B Lotus"/>
          <w:rtl/>
        </w:rPr>
        <w:fldChar w:fldCharType="begin" w:fldLock="1"/>
      </w:r>
      <w:r>
        <w:rPr>
          <w:rFonts w:cs="B Lotus"/>
        </w:rPr>
        <w:instrText>ADDIN CSL_CITATION { "citationItems" : [ { "id" : "ITEM-1", "itemData" : { "author" : [ { "dropping-particle" : "", "family" : "Hurrell", "given" : "Jennifer", "non-dropping-particle" : "", "parse-names" : false, "suffix" : "" } ], "id" : "ITEM-1", "issued" : { "date-parts" : [ [ "1989" ] ] }, "page" : "533-554", "title" : "Chapter 21", "type" : "article-journal", "volume" : "50" }, "uris" : [ "http://www.mendeley.com/documents/?uuid=26efaad7-d43a-4d77-aae6-3c133e7c42b1" ] } ], "mendeley" : { "formattedCitation" : "(Hurrell, 1989)", "plainTextFormattedCitation" : "(Hurrell, 1989)", "previouslyFormattedCitation" : "(Hurrell, 1989)" }, "properties" : {  }, "schema" : "https://github.com/citation-style-language/schema/raw/master/csl-citation.json" }</w:instrText>
      </w:r>
      <w:r w:rsidRPr="00262069">
        <w:rPr>
          <w:rFonts w:cs="B Lotus"/>
          <w:rtl/>
        </w:rPr>
        <w:fldChar w:fldCharType="separate"/>
      </w:r>
      <w:r w:rsidRPr="00BB5C08">
        <w:rPr>
          <w:rFonts w:cs="B Lotus"/>
          <w:noProof/>
        </w:rPr>
        <w:t>(Hurrell, 1989)</w:t>
      </w:r>
      <w:r w:rsidRPr="00262069">
        <w:rPr>
          <w:rFonts w:cs="B Lotus"/>
          <w:rtl/>
        </w:rPr>
        <w:fldChar w:fldCharType="end"/>
      </w:r>
      <w:r w:rsidRPr="00262069">
        <w:rPr>
          <w:rFonts w:cs="B Lotus"/>
          <w:rtl/>
        </w:rPr>
        <w:t>.</w:t>
      </w:r>
      <w:r>
        <w:rPr>
          <w:rFonts w:cs="B Lotus" w:hint="cs"/>
          <w:rtl/>
        </w:rPr>
        <w:t xml:space="preserve"> تاپچو و اولنگین </w:t>
      </w:r>
      <w:r w:rsidRPr="00262069">
        <w:rPr>
          <w:rFonts w:cs="B Lotus"/>
          <w:rtl/>
        </w:rPr>
        <w:t>ارزیابی تصمیم گیری چند</w:t>
      </w:r>
      <w:r>
        <w:rPr>
          <w:rFonts w:cs="B Lotus" w:hint="cs"/>
          <w:rtl/>
        </w:rPr>
        <w:t xml:space="preserve"> شاخصه</w:t>
      </w:r>
      <w:r w:rsidRPr="00262069">
        <w:rPr>
          <w:rFonts w:cs="B Lotus"/>
          <w:rtl/>
        </w:rPr>
        <w:t xml:space="preserve"> از منابع انرژی که امکان انتخاب یک جایگزین مناسب تولید برق برای ترکیه را فراهم </w:t>
      </w:r>
      <w:r>
        <w:rPr>
          <w:rFonts w:cs="B Lotus" w:hint="cs"/>
          <w:rtl/>
        </w:rPr>
        <w:t>کردند</w:t>
      </w:r>
      <w:r w:rsidRPr="00262069">
        <w:rPr>
          <w:rFonts w:cs="B Lotus"/>
          <w:rtl/>
        </w:rPr>
        <w:t>. همچنین یک چارچوب تصمیم گیری یکپارچه (</w:t>
      </w:r>
      <w:r w:rsidRPr="00262069">
        <w:rPr>
          <w:rFonts w:cs="B Lotus"/>
        </w:rPr>
        <w:t>IDEA</w:t>
      </w:r>
      <w:r w:rsidRPr="00262069">
        <w:rPr>
          <w:rFonts w:cs="B Lotus"/>
          <w:rtl/>
        </w:rPr>
        <w:t>) را برای انتخاب مناسب ترین روش چند شاخصی ارائه می ده</w:t>
      </w:r>
      <w:r>
        <w:rPr>
          <w:rFonts w:cs="B Lotus" w:hint="cs"/>
          <w:rtl/>
        </w:rPr>
        <w:t>ن</w:t>
      </w:r>
      <w:r w:rsidRPr="00262069">
        <w:rPr>
          <w:rFonts w:cs="B Lotus"/>
          <w:rtl/>
        </w:rPr>
        <w:t>د و یک رتبه بندی برای جایگزین ها و تجزیه و تحلیل قوی را به عنوان توصیه به مقامات ارائه می دهد</w:t>
      </w:r>
      <w:r>
        <w:rPr>
          <w:rFonts w:cs="B Lotus" w:hint="cs"/>
          <w:rtl/>
          <w:lang w:bidi="fa-IR"/>
        </w:rPr>
        <w:t xml:space="preserve">. </w:t>
      </w:r>
      <w:r w:rsidRPr="00CD26AC">
        <w:rPr>
          <w:rFonts w:cs="B Lotus"/>
          <w:rtl/>
          <w:lang w:bidi="fa-IR"/>
        </w:rPr>
        <w:t>مطالعات نشان م</w:t>
      </w:r>
      <w:r w:rsidRPr="00CD26AC">
        <w:rPr>
          <w:rFonts w:cs="B Lotus" w:hint="cs"/>
          <w:rtl/>
          <w:lang w:bidi="fa-IR"/>
        </w:rPr>
        <w:t>ی</w:t>
      </w:r>
      <w:r w:rsidRPr="00CD26AC">
        <w:rPr>
          <w:rFonts w:cs="B Lotus"/>
          <w:rtl/>
          <w:lang w:bidi="fa-IR"/>
        </w:rPr>
        <w:t xml:space="preserve"> دهد که تجز</w:t>
      </w:r>
      <w:r w:rsidRPr="00CD26AC">
        <w:rPr>
          <w:rFonts w:cs="B Lotus" w:hint="cs"/>
          <w:rtl/>
          <w:lang w:bidi="fa-IR"/>
        </w:rPr>
        <w:t>ی</w:t>
      </w:r>
      <w:r w:rsidRPr="00CD26AC">
        <w:rPr>
          <w:rFonts w:cs="B Lotus" w:hint="eastAsia"/>
          <w:rtl/>
          <w:lang w:bidi="fa-IR"/>
        </w:rPr>
        <w:t>ه</w:t>
      </w:r>
      <w:r w:rsidRPr="00CD26AC">
        <w:rPr>
          <w:rFonts w:cs="B Lotus"/>
          <w:rtl/>
          <w:lang w:bidi="fa-IR"/>
        </w:rPr>
        <w:t xml:space="preserve"> و تحل</w:t>
      </w:r>
      <w:r w:rsidRPr="00CD26AC">
        <w:rPr>
          <w:rFonts w:cs="B Lotus" w:hint="cs"/>
          <w:rtl/>
          <w:lang w:bidi="fa-IR"/>
        </w:rPr>
        <w:t>ی</w:t>
      </w:r>
      <w:r w:rsidRPr="00CD26AC">
        <w:rPr>
          <w:rFonts w:cs="B Lotus" w:hint="eastAsia"/>
          <w:rtl/>
          <w:lang w:bidi="fa-IR"/>
        </w:rPr>
        <w:t>ل</w:t>
      </w:r>
      <w:r w:rsidRPr="00CD26AC">
        <w:rPr>
          <w:rFonts w:cs="B Lotus"/>
          <w:rtl/>
          <w:lang w:bidi="fa-IR"/>
        </w:rPr>
        <w:t xml:space="preserve"> چند مع</w:t>
      </w:r>
      <w:r w:rsidRPr="00CD26AC">
        <w:rPr>
          <w:rFonts w:cs="B Lotus" w:hint="cs"/>
          <w:rtl/>
          <w:lang w:bidi="fa-IR"/>
        </w:rPr>
        <w:t>ی</w:t>
      </w:r>
      <w:r w:rsidRPr="00CD26AC">
        <w:rPr>
          <w:rFonts w:cs="B Lotus" w:hint="eastAsia"/>
          <w:rtl/>
          <w:lang w:bidi="fa-IR"/>
        </w:rPr>
        <w:t>اره</w:t>
      </w:r>
      <w:r w:rsidRPr="00CD26AC">
        <w:rPr>
          <w:rFonts w:cs="B Lotus"/>
          <w:rtl/>
          <w:lang w:bidi="fa-IR"/>
        </w:rPr>
        <w:t xml:space="preserve"> برا</w:t>
      </w:r>
      <w:r w:rsidRPr="00CD26AC">
        <w:rPr>
          <w:rFonts w:cs="B Lotus" w:hint="cs"/>
          <w:rtl/>
          <w:lang w:bidi="fa-IR"/>
        </w:rPr>
        <w:t>ی</w:t>
      </w:r>
      <w:r w:rsidRPr="00CD26AC">
        <w:rPr>
          <w:rFonts w:cs="B Lotus"/>
          <w:rtl/>
          <w:lang w:bidi="fa-IR"/>
        </w:rPr>
        <w:t xml:space="preserve"> ارز</w:t>
      </w:r>
      <w:r w:rsidRPr="00CD26AC">
        <w:rPr>
          <w:rFonts w:cs="B Lotus" w:hint="cs"/>
          <w:rtl/>
          <w:lang w:bidi="fa-IR"/>
        </w:rPr>
        <w:t>ی</w:t>
      </w:r>
      <w:r w:rsidRPr="00CD26AC">
        <w:rPr>
          <w:rFonts w:cs="B Lotus" w:hint="eastAsia"/>
          <w:rtl/>
          <w:lang w:bidi="fa-IR"/>
        </w:rPr>
        <w:t>اب</w:t>
      </w:r>
      <w:r w:rsidRPr="00CD26AC">
        <w:rPr>
          <w:rFonts w:cs="B Lotus" w:hint="cs"/>
          <w:rtl/>
          <w:lang w:bidi="fa-IR"/>
        </w:rPr>
        <w:t>ی</w:t>
      </w:r>
      <w:r w:rsidRPr="00CD26AC">
        <w:rPr>
          <w:rFonts w:cs="B Lotus"/>
          <w:rtl/>
          <w:lang w:bidi="fa-IR"/>
        </w:rPr>
        <w:t xml:space="preserve"> منابع جا</w:t>
      </w:r>
      <w:r w:rsidRPr="00CD26AC">
        <w:rPr>
          <w:rFonts w:cs="B Lotus" w:hint="cs"/>
          <w:rtl/>
          <w:lang w:bidi="fa-IR"/>
        </w:rPr>
        <w:t>ی</w:t>
      </w:r>
      <w:r w:rsidRPr="00CD26AC">
        <w:rPr>
          <w:rFonts w:cs="B Lotus" w:hint="eastAsia"/>
          <w:rtl/>
          <w:lang w:bidi="fa-IR"/>
        </w:rPr>
        <w:t>گز</w:t>
      </w:r>
      <w:r w:rsidRPr="00CD26AC">
        <w:rPr>
          <w:rFonts w:cs="B Lotus" w:hint="cs"/>
          <w:rtl/>
          <w:lang w:bidi="fa-IR"/>
        </w:rPr>
        <w:t>ی</w:t>
      </w:r>
      <w:r w:rsidRPr="00CD26AC">
        <w:rPr>
          <w:rFonts w:cs="B Lotus" w:hint="eastAsia"/>
          <w:rtl/>
          <w:lang w:bidi="fa-IR"/>
        </w:rPr>
        <w:t>ن</w:t>
      </w:r>
      <w:r w:rsidRPr="00CD26AC">
        <w:rPr>
          <w:rFonts w:cs="B Lotus"/>
          <w:rtl/>
          <w:lang w:bidi="fa-IR"/>
        </w:rPr>
        <w:t xml:space="preserve"> با توجه به و</w:t>
      </w:r>
      <w:r w:rsidRPr="00CD26AC">
        <w:rPr>
          <w:rFonts w:cs="B Lotus" w:hint="cs"/>
          <w:rtl/>
          <w:lang w:bidi="fa-IR"/>
        </w:rPr>
        <w:t>ی</w:t>
      </w:r>
      <w:r w:rsidRPr="00CD26AC">
        <w:rPr>
          <w:rFonts w:cs="B Lotus" w:hint="eastAsia"/>
          <w:rtl/>
          <w:lang w:bidi="fa-IR"/>
        </w:rPr>
        <w:t>ژگ</w:t>
      </w:r>
      <w:r w:rsidRPr="00CD26AC">
        <w:rPr>
          <w:rFonts w:cs="B Lotus" w:hint="cs"/>
          <w:rtl/>
          <w:lang w:bidi="fa-IR"/>
        </w:rPr>
        <w:t>ی</w:t>
      </w:r>
      <w:r w:rsidRPr="00CD26AC">
        <w:rPr>
          <w:rFonts w:cs="B Lotus"/>
          <w:rtl/>
          <w:lang w:bidi="fa-IR"/>
        </w:rPr>
        <w:t xml:space="preserve"> ها</w:t>
      </w:r>
      <w:r w:rsidRPr="00CD26AC">
        <w:rPr>
          <w:rFonts w:cs="B Lotus" w:hint="cs"/>
          <w:rtl/>
          <w:lang w:bidi="fa-IR"/>
        </w:rPr>
        <w:t>ی</w:t>
      </w:r>
      <w:r w:rsidRPr="00CD26AC">
        <w:rPr>
          <w:rFonts w:cs="B Lotus"/>
          <w:rtl/>
          <w:lang w:bidi="fa-IR"/>
        </w:rPr>
        <w:t xml:space="preserve"> متما</w:t>
      </w:r>
      <w:r w:rsidRPr="00CD26AC">
        <w:rPr>
          <w:rFonts w:cs="B Lotus" w:hint="cs"/>
          <w:rtl/>
          <w:lang w:bidi="fa-IR"/>
        </w:rPr>
        <w:t>ی</w:t>
      </w:r>
      <w:r w:rsidRPr="00CD26AC">
        <w:rPr>
          <w:rFonts w:cs="B Lotus" w:hint="eastAsia"/>
          <w:rtl/>
          <w:lang w:bidi="fa-IR"/>
        </w:rPr>
        <w:t>ز</w:t>
      </w:r>
      <w:r w:rsidRPr="00CD26AC">
        <w:rPr>
          <w:rFonts w:cs="B Lotus"/>
          <w:rtl/>
          <w:lang w:bidi="fa-IR"/>
        </w:rPr>
        <w:t xml:space="preserve"> و به طور کل</w:t>
      </w:r>
      <w:r w:rsidRPr="00CD26AC">
        <w:rPr>
          <w:rFonts w:cs="B Lotus" w:hint="cs"/>
          <w:rtl/>
          <w:lang w:bidi="fa-IR"/>
        </w:rPr>
        <w:t>ی</w:t>
      </w:r>
      <w:r w:rsidRPr="00CD26AC">
        <w:rPr>
          <w:rFonts w:cs="B Lotus"/>
          <w:rtl/>
          <w:lang w:bidi="fa-IR"/>
        </w:rPr>
        <w:t xml:space="preserve"> متضاد ضرور</w:t>
      </w:r>
      <w:r w:rsidRPr="00CD26AC">
        <w:rPr>
          <w:rFonts w:cs="B Lotus" w:hint="cs"/>
          <w:rtl/>
          <w:lang w:bidi="fa-IR"/>
        </w:rPr>
        <w:t>ی</w:t>
      </w:r>
      <w:r w:rsidRPr="00CD26AC">
        <w:rPr>
          <w:rFonts w:cs="B Lotus"/>
          <w:rtl/>
          <w:lang w:bidi="fa-IR"/>
        </w:rPr>
        <w:t xml:space="preserve"> است.</w:t>
      </w:r>
      <w:r w:rsidRPr="00CD26AC">
        <w:rPr>
          <w:rtl/>
        </w:rPr>
        <w:t xml:space="preserve"> </w:t>
      </w:r>
      <w:r w:rsidRPr="00CD26AC">
        <w:rPr>
          <w:rFonts w:cs="B Lotus"/>
          <w:rtl/>
          <w:lang w:bidi="fa-IR"/>
        </w:rPr>
        <w:t>نتا</w:t>
      </w:r>
      <w:r w:rsidRPr="00CD26AC">
        <w:rPr>
          <w:rFonts w:cs="B Lotus" w:hint="cs"/>
          <w:rtl/>
          <w:lang w:bidi="fa-IR"/>
        </w:rPr>
        <w:t>ی</w:t>
      </w:r>
      <w:r w:rsidRPr="00CD26AC">
        <w:rPr>
          <w:rFonts w:cs="B Lotus" w:hint="eastAsia"/>
          <w:rtl/>
          <w:lang w:bidi="fa-IR"/>
        </w:rPr>
        <w:t>ج</w:t>
      </w:r>
      <w:r w:rsidRPr="00CD26AC">
        <w:rPr>
          <w:rFonts w:cs="B Lotus"/>
          <w:rtl/>
          <w:lang w:bidi="fa-IR"/>
        </w:rPr>
        <w:t xml:space="preserve"> نشان م</w:t>
      </w:r>
      <w:r w:rsidRPr="00CD26AC">
        <w:rPr>
          <w:rFonts w:cs="B Lotus" w:hint="cs"/>
          <w:rtl/>
          <w:lang w:bidi="fa-IR"/>
        </w:rPr>
        <w:t>ی</w:t>
      </w:r>
      <w:r w:rsidRPr="00CD26AC">
        <w:rPr>
          <w:rFonts w:cs="B Lotus"/>
          <w:rtl/>
          <w:lang w:bidi="fa-IR"/>
        </w:rPr>
        <w:t xml:space="preserve"> دهد که قدرت باد بهتر</w:t>
      </w:r>
      <w:r w:rsidRPr="00CD26AC">
        <w:rPr>
          <w:rFonts w:cs="B Lotus" w:hint="cs"/>
          <w:rtl/>
          <w:lang w:bidi="fa-IR"/>
        </w:rPr>
        <w:t>ی</w:t>
      </w:r>
      <w:r w:rsidRPr="00CD26AC">
        <w:rPr>
          <w:rFonts w:cs="B Lotus" w:hint="eastAsia"/>
          <w:rtl/>
          <w:lang w:bidi="fa-IR"/>
        </w:rPr>
        <w:t>ن</w:t>
      </w:r>
      <w:r w:rsidRPr="00CD26AC">
        <w:rPr>
          <w:rFonts w:cs="B Lotus"/>
          <w:rtl/>
          <w:lang w:bidi="fa-IR"/>
        </w:rPr>
        <w:t xml:space="preserve"> جا</w:t>
      </w:r>
      <w:r w:rsidRPr="00CD26AC">
        <w:rPr>
          <w:rFonts w:cs="B Lotus" w:hint="cs"/>
          <w:rtl/>
          <w:lang w:bidi="fa-IR"/>
        </w:rPr>
        <w:t>ی</w:t>
      </w:r>
      <w:r w:rsidRPr="00CD26AC">
        <w:rPr>
          <w:rFonts w:cs="B Lotus" w:hint="eastAsia"/>
          <w:rtl/>
          <w:lang w:bidi="fa-IR"/>
        </w:rPr>
        <w:t>گز</w:t>
      </w:r>
      <w:r w:rsidRPr="00CD26AC">
        <w:rPr>
          <w:rFonts w:cs="B Lotus" w:hint="cs"/>
          <w:rtl/>
          <w:lang w:bidi="fa-IR"/>
        </w:rPr>
        <w:t>ی</w:t>
      </w:r>
      <w:r w:rsidRPr="00CD26AC">
        <w:rPr>
          <w:rFonts w:cs="B Lotus" w:hint="eastAsia"/>
          <w:rtl/>
          <w:lang w:bidi="fa-IR"/>
        </w:rPr>
        <w:t>ن</w:t>
      </w:r>
      <w:r w:rsidRPr="00CD26AC">
        <w:rPr>
          <w:rFonts w:cs="B Lotus"/>
          <w:rtl/>
          <w:lang w:bidi="fa-IR"/>
        </w:rPr>
        <w:t xml:space="preserve"> برا</w:t>
      </w:r>
      <w:r w:rsidRPr="00CD26AC">
        <w:rPr>
          <w:rFonts w:cs="B Lotus" w:hint="cs"/>
          <w:rtl/>
          <w:lang w:bidi="fa-IR"/>
        </w:rPr>
        <w:t>ی</w:t>
      </w:r>
      <w:r w:rsidRPr="00CD26AC">
        <w:rPr>
          <w:rFonts w:cs="B Lotus"/>
          <w:rtl/>
          <w:lang w:bidi="fa-IR"/>
        </w:rPr>
        <w:t xml:space="preserve"> حل مشکل تول</w:t>
      </w:r>
      <w:r w:rsidRPr="00CD26AC">
        <w:rPr>
          <w:rFonts w:cs="B Lotus" w:hint="cs"/>
          <w:rtl/>
          <w:lang w:bidi="fa-IR"/>
        </w:rPr>
        <w:t>ی</w:t>
      </w:r>
      <w:r w:rsidRPr="00CD26AC">
        <w:rPr>
          <w:rFonts w:cs="B Lotus" w:hint="eastAsia"/>
          <w:rtl/>
          <w:lang w:bidi="fa-IR"/>
        </w:rPr>
        <w:t>د</w:t>
      </w:r>
      <w:r w:rsidRPr="00CD26AC">
        <w:rPr>
          <w:rFonts w:cs="B Lotus"/>
          <w:rtl/>
          <w:lang w:bidi="fa-IR"/>
        </w:rPr>
        <w:t xml:space="preserve"> نسل سوم ترک</w:t>
      </w:r>
      <w:r w:rsidRPr="00CD26AC">
        <w:rPr>
          <w:rFonts w:cs="B Lotus" w:hint="cs"/>
          <w:rtl/>
          <w:lang w:bidi="fa-IR"/>
        </w:rPr>
        <w:t>ی</w:t>
      </w:r>
      <w:r w:rsidRPr="00CD26AC">
        <w:rPr>
          <w:rFonts w:cs="B Lotus" w:hint="eastAsia"/>
          <w:rtl/>
          <w:lang w:bidi="fa-IR"/>
        </w:rPr>
        <w:t>ه</w:t>
      </w:r>
      <w:r w:rsidRPr="00CD26AC">
        <w:rPr>
          <w:rFonts w:cs="B Lotus"/>
          <w:rtl/>
          <w:lang w:bidi="fa-IR"/>
        </w:rPr>
        <w:t xml:space="preserve"> در آ</w:t>
      </w:r>
      <w:r w:rsidRPr="00CD26AC">
        <w:rPr>
          <w:rFonts w:cs="B Lotus" w:hint="cs"/>
          <w:rtl/>
          <w:lang w:bidi="fa-IR"/>
        </w:rPr>
        <w:t>ی</w:t>
      </w:r>
      <w:r w:rsidRPr="00CD26AC">
        <w:rPr>
          <w:rFonts w:cs="B Lotus" w:hint="eastAsia"/>
          <w:rtl/>
          <w:lang w:bidi="fa-IR"/>
        </w:rPr>
        <w:t>نده</w:t>
      </w:r>
      <w:r w:rsidRPr="00CD26AC">
        <w:rPr>
          <w:rFonts w:cs="B Lotus"/>
          <w:rtl/>
          <w:lang w:bidi="fa-IR"/>
        </w:rPr>
        <w:t xml:space="preserve"> است</w:t>
      </w:r>
      <w:r w:rsidRPr="00262069">
        <w:rPr>
          <w:rFonts w:cs="B Lotus"/>
          <w:rtl/>
        </w:rPr>
        <w:fldChar w:fldCharType="begin" w:fldLock="1"/>
      </w:r>
      <w:r>
        <w:rPr>
          <w:rFonts w:cs="B Lotus"/>
        </w:rPr>
        <w:instrText>ADDIN CSL_CITATION { "citationItems" : [ { "id" : "ITEM-1", "itemData" : { "DOI" : "10.1016/S0360-5442(03)00160-9", "ISBN" : "0360-5442", "ISSN" : "03605442", "abstract" : "Environmental concerns and the increase in oil prices in the fall of 2000 made energy one of the priority issues in the industrial world. Research shows that the problem of selecting an energy resource requires a detailed multi-dimensional analysis. Most forms of renewable energy are dependent on geographic and environmental factors that vary immensely from place to place. As a result, each country has to work out its own policies in accordance with its geographical and political conditions. This paper is concerned with the multi-attribute decision making evaluation of energy resources that will enable the selection of a suitable electricity generation alternative for Turkey. It also provides an integrated decision aid (IDEA) framework for the selection of the most suitable multi-attribute method and presents ranking of alternatives and robustness analysis as recommendation to the authorities. \u00a9 2003 Elsevier Ltd. All rights reserved.", "author" : [ { "dropping-particle" : "", "family" : "Topcu", "given" : "Y. I.", "non-dropping-particle" : "", "parse-names" : false, "suffix" : "" }, { "dropping-particle" : "", "family" : "Ulengin", "given" : "F.", "non-dropping-particle" : "", "parse-names" : false, "suffix" : "" } ], "container-title" : "Energy", "id" : "ITEM-1", "issue" : "1", "issued" : { "date-parts" : [ [ "2004" ] ] }, "page" : "137-154", "title" : "Energy for the future: An integrated decision aid for the case of Turkey", "type" : "article-journal", "volume" : "29" }, "uris" : [ "http://www.mendeley.com/documents/?uuid=d3dac1be-f71c-4b34-b65f-f2c78cae544f" ] } ], "mendeley" : { "formattedCitation" : "(Topcu &amp; Ulengin, 2004)", "plainTextFormattedCitation" : "(Topcu &amp; Ulengin, 2004)", "previouslyFormattedCitation" : "(Topcu &amp; Ulengin, 2004)" }, "properties" : {  }, "schema" : "https://github.com/citation-style-language/schema/raw/master/csl-citation.json" }</w:instrText>
      </w:r>
      <w:r w:rsidRPr="00262069">
        <w:rPr>
          <w:rFonts w:cs="B Lotus"/>
          <w:rtl/>
        </w:rPr>
        <w:fldChar w:fldCharType="separate"/>
      </w:r>
      <w:r w:rsidRPr="00BB5C08">
        <w:rPr>
          <w:rFonts w:cs="B Lotus"/>
          <w:noProof/>
        </w:rPr>
        <w:t>(Topcu &amp; Ulengin, 2004)</w:t>
      </w:r>
      <w:r w:rsidRPr="00262069">
        <w:rPr>
          <w:rFonts w:cs="B Lotus"/>
          <w:rtl/>
        </w:rPr>
        <w:fldChar w:fldCharType="end"/>
      </w:r>
      <w:r w:rsidRPr="00CD26AC">
        <w:rPr>
          <w:rFonts w:cs="B Lotus"/>
          <w:rtl/>
          <w:lang w:bidi="fa-IR"/>
        </w:rPr>
        <w:t>.</w:t>
      </w:r>
    </w:p>
    <w:p w14:paraId="25DB16B3" w14:textId="77777777" w:rsidR="00AB6491" w:rsidRDefault="00AB6491" w:rsidP="002F0D7F">
      <w:pPr>
        <w:bidi/>
        <w:rPr>
          <w:rFonts w:cs="B Lotus"/>
          <w:rtl/>
        </w:rPr>
      </w:pPr>
      <w:r>
        <w:rPr>
          <w:rFonts w:cs="B Lotus" w:hint="cs"/>
          <w:rtl/>
        </w:rPr>
        <w:t xml:space="preserve">پوهکار و راماچاندران </w:t>
      </w:r>
      <w:r w:rsidRPr="00262069">
        <w:rPr>
          <w:rFonts w:cs="B Lotus"/>
          <w:rtl/>
        </w:rPr>
        <w:t xml:space="preserve">بررسی بیش از 90 مقاله منتشر شده برای تحلیل کاربرد روش های مختلف را مورد بحث قرار داده اند. مشاهده می شود که فرآیند سلسله مراتب تحلیلی، محبوب ترین تکنیک به وسیله روش های پیشروی </w:t>
      </w:r>
      <w:r w:rsidRPr="00262069">
        <w:rPr>
          <w:rFonts w:cs="B Lotus"/>
        </w:rPr>
        <w:t>PROMETHEE</w:t>
      </w:r>
      <w:r w:rsidRPr="00262069">
        <w:rPr>
          <w:rFonts w:cs="B Lotus"/>
          <w:rtl/>
        </w:rPr>
        <w:t xml:space="preserve"> و </w:t>
      </w:r>
      <w:r w:rsidRPr="00262069">
        <w:rPr>
          <w:rFonts w:cs="B Lotus"/>
        </w:rPr>
        <w:t>ELECTRE</w:t>
      </w:r>
      <w:r w:rsidRPr="00262069">
        <w:rPr>
          <w:rFonts w:cs="B Lotus"/>
          <w:rtl/>
        </w:rPr>
        <w:t xml:space="preserve"> </w:t>
      </w:r>
      <w:r w:rsidRPr="00262069">
        <w:rPr>
          <w:rFonts w:cs="B Lotus" w:hint="cs"/>
          <w:rtl/>
        </w:rPr>
        <w:t>است.</w:t>
      </w:r>
      <w:r>
        <w:rPr>
          <w:rFonts w:cs="B Lotus" w:hint="cs"/>
          <w:rtl/>
          <w:lang w:bidi="fa-IR"/>
        </w:rPr>
        <w:t xml:space="preserve"> </w:t>
      </w:r>
      <w:r w:rsidRPr="006212BF">
        <w:rPr>
          <w:rFonts w:cs="B Lotus"/>
          <w:rtl/>
        </w:rPr>
        <w:t>ا</w:t>
      </w:r>
      <w:r w:rsidRPr="006212BF">
        <w:rPr>
          <w:rFonts w:cs="B Lotus" w:hint="cs"/>
          <w:rtl/>
        </w:rPr>
        <w:t>ی</w:t>
      </w:r>
      <w:r w:rsidRPr="006212BF">
        <w:rPr>
          <w:rFonts w:cs="B Lotus" w:hint="eastAsia"/>
          <w:rtl/>
        </w:rPr>
        <w:t>ن</w:t>
      </w:r>
      <w:r w:rsidRPr="006212BF">
        <w:rPr>
          <w:rFonts w:cs="B Lotus"/>
          <w:rtl/>
        </w:rPr>
        <w:t xml:space="preserve"> روش ها ب</w:t>
      </w:r>
      <w:r w:rsidRPr="006212BF">
        <w:rPr>
          <w:rFonts w:cs="B Lotus" w:hint="cs"/>
          <w:rtl/>
        </w:rPr>
        <w:t>ی</w:t>
      </w:r>
      <w:r w:rsidRPr="006212BF">
        <w:rPr>
          <w:rFonts w:cs="B Lotus" w:hint="eastAsia"/>
          <w:rtl/>
        </w:rPr>
        <w:t>شتر</w:t>
      </w:r>
      <w:r w:rsidRPr="006212BF">
        <w:rPr>
          <w:rFonts w:cs="B Lotus"/>
          <w:rtl/>
        </w:rPr>
        <w:t xml:space="preserve"> در برنامه ها</w:t>
      </w:r>
      <w:r w:rsidRPr="006212BF">
        <w:rPr>
          <w:rFonts w:cs="B Lotus" w:hint="cs"/>
          <w:rtl/>
        </w:rPr>
        <w:t>ی</w:t>
      </w:r>
      <w:r w:rsidRPr="006212BF">
        <w:rPr>
          <w:rFonts w:cs="B Lotus"/>
          <w:rtl/>
        </w:rPr>
        <w:t xml:space="preserve"> انرژ</w:t>
      </w:r>
      <w:r w:rsidRPr="006212BF">
        <w:rPr>
          <w:rFonts w:cs="B Lotus" w:hint="cs"/>
          <w:rtl/>
        </w:rPr>
        <w:t>ی</w:t>
      </w:r>
      <w:r w:rsidRPr="006212BF">
        <w:rPr>
          <w:rFonts w:cs="B Lotus"/>
          <w:rtl/>
        </w:rPr>
        <w:t xml:space="preserve"> تجد</w:t>
      </w:r>
      <w:r w:rsidRPr="006212BF">
        <w:rPr>
          <w:rFonts w:cs="B Lotus" w:hint="cs"/>
          <w:rtl/>
        </w:rPr>
        <w:t>ی</w:t>
      </w:r>
      <w:r w:rsidRPr="006212BF">
        <w:rPr>
          <w:rFonts w:cs="B Lotus" w:hint="eastAsia"/>
          <w:rtl/>
        </w:rPr>
        <w:t>د</w:t>
      </w:r>
      <w:r w:rsidRPr="006212BF">
        <w:rPr>
          <w:rFonts w:cs="B Lotus"/>
          <w:rtl/>
        </w:rPr>
        <w:t xml:space="preserve"> پذ</w:t>
      </w:r>
      <w:r w:rsidRPr="006212BF">
        <w:rPr>
          <w:rFonts w:cs="B Lotus" w:hint="cs"/>
          <w:rtl/>
        </w:rPr>
        <w:t>ی</w:t>
      </w:r>
      <w:r w:rsidRPr="006212BF">
        <w:rPr>
          <w:rFonts w:cs="B Lotus" w:hint="eastAsia"/>
          <w:rtl/>
        </w:rPr>
        <w:t>ر</w:t>
      </w:r>
      <w:r w:rsidRPr="006212BF">
        <w:rPr>
          <w:rFonts w:cs="B Lotus"/>
          <w:rtl/>
        </w:rPr>
        <w:t xml:space="preserve"> و پس از تخص</w:t>
      </w:r>
      <w:r w:rsidRPr="006212BF">
        <w:rPr>
          <w:rFonts w:cs="B Lotus" w:hint="cs"/>
          <w:rtl/>
        </w:rPr>
        <w:t>ی</w:t>
      </w:r>
      <w:r w:rsidRPr="006212BF">
        <w:rPr>
          <w:rFonts w:cs="B Lotus" w:hint="eastAsia"/>
          <w:rtl/>
        </w:rPr>
        <w:t>ص</w:t>
      </w:r>
      <w:r w:rsidRPr="006212BF">
        <w:rPr>
          <w:rFonts w:cs="B Lotus"/>
          <w:rtl/>
        </w:rPr>
        <w:t xml:space="preserve"> منابع انرژ</w:t>
      </w:r>
      <w:r w:rsidRPr="006212BF">
        <w:rPr>
          <w:rFonts w:cs="B Lotus" w:hint="cs"/>
          <w:rtl/>
        </w:rPr>
        <w:t>ی</w:t>
      </w:r>
      <w:r w:rsidRPr="006212BF">
        <w:rPr>
          <w:rFonts w:cs="B Lotus"/>
          <w:rtl/>
        </w:rPr>
        <w:t xml:space="preserve"> مورد توجه قرار م</w:t>
      </w:r>
      <w:r w:rsidRPr="006212BF">
        <w:rPr>
          <w:rFonts w:cs="B Lotus" w:hint="cs"/>
          <w:rtl/>
        </w:rPr>
        <w:t>ی</w:t>
      </w:r>
      <w:r w:rsidRPr="006212BF">
        <w:rPr>
          <w:rFonts w:cs="B Lotus"/>
          <w:rtl/>
        </w:rPr>
        <w:t xml:space="preserve"> گ</w:t>
      </w:r>
      <w:r w:rsidRPr="006212BF">
        <w:rPr>
          <w:rFonts w:cs="B Lotus" w:hint="cs"/>
          <w:rtl/>
        </w:rPr>
        <w:t>ی</w:t>
      </w:r>
      <w:r w:rsidRPr="006212BF">
        <w:rPr>
          <w:rFonts w:cs="B Lotus" w:hint="eastAsia"/>
          <w:rtl/>
        </w:rPr>
        <w:t>رند</w:t>
      </w:r>
      <w:r w:rsidRPr="006212BF">
        <w:rPr>
          <w:rFonts w:cs="B Lotus"/>
          <w:rtl/>
        </w:rPr>
        <w:t>. مشاهده م</w:t>
      </w:r>
      <w:r w:rsidRPr="006212BF">
        <w:rPr>
          <w:rFonts w:cs="B Lotus" w:hint="cs"/>
          <w:rtl/>
        </w:rPr>
        <w:t>ی</w:t>
      </w:r>
      <w:r w:rsidRPr="006212BF">
        <w:rPr>
          <w:rFonts w:cs="B Lotus"/>
          <w:rtl/>
        </w:rPr>
        <w:t xml:space="preserve"> شود </w:t>
      </w:r>
      <w:r w:rsidRPr="006212BF">
        <w:rPr>
          <w:rFonts w:cs="B Lotus" w:hint="eastAsia"/>
          <w:rtl/>
        </w:rPr>
        <w:t>که</w:t>
      </w:r>
      <w:r w:rsidRPr="006212BF">
        <w:rPr>
          <w:rFonts w:cs="B Lotus"/>
          <w:rtl/>
        </w:rPr>
        <w:t xml:space="preserve"> فرآ</w:t>
      </w:r>
      <w:r w:rsidRPr="006212BF">
        <w:rPr>
          <w:rFonts w:cs="B Lotus" w:hint="cs"/>
          <w:rtl/>
        </w:rPr>
        <w:t>ی</w:t>
      </w:r>
      <w:r w:rsidRPr="006212BF">
        <w:rPr>
          <w:rFonts w:cs="B Lotus" w:hint="eastAsia"/>
          <w:rtl/>
        </w:rPr>
        <w:t>ند</w:t>
      </w:r>
      <w:r w:rsidRPr="006212BF">
        <w:rPr>
          <w:rFonts w:cs="B Lotus"/>
          <w:rtl/>
        </w:rPr>
        <w:t xml:space="preserve"> سلسله مراتب</w:t>
      </w:r>
      <w:r w:rsidRPr="006212BF">
        <w:rPr>
          <w:rFonts w:cs="B Lotus" w:hint="cs"/>
          <w:rtl/>
        </w:rPr>
        <w:t>ی</w:t>
      </w:r>
      <w:r w:rsidRPr="006212BF">
        <w:rPr>
          <w:rFonts w:cs="B Lotus"/>
          <w:rtl/>
        </w:rPr>
        <w:t xml:space="preserve"> تحل</w:t>
      </w:r>
      <w:r w:rsidRPr="006212BF">
        <w:rPr>
          <w:rFonts w:cs="B Lotus" w:hint="cs"/>
          <w:rtl/>
        </w:rPr>
        <w:t>ی</w:t>
      </w:r>
      <w:r w:rsidRPr="006212BF">
        <w:rPr>
          <w:rFonts w:cs="B Lotus" w:hint="eastAsia"/>
          <w:rtl/>
        </w:rPr>
        <w:t>ل</w:t>
      </w:r>
      <w:r w:rsidRPr="006212BF">
        <w:rPr>
          <w:rFonts w:cs="B Lotus" w:hint="cs"/>
          <w:rtl/>
        </w:rPr>
        <w:t>ی</w:t>
      </w:r>
      <w:r w:rsidRPr="006212BF">
        <w:rPr>
          <w:rFonts w:cs="B Lotus" w:hint="eastAsia"/>
          <w:rtl/>
        </w:rPr>
        <w:t>،</w:t>
      </w:r>
      <w:r w:rsidRPr="006212BF">
        <w:rPr>
          <w:rFonts w:cs="B Lotus"/>
          <w:rtl/>
        </w:rPr>
        <w:t xml:space="preserve"> محبوب تر</w:t>
      </w:r>
      <w:r w:rsidRPr="006212BF">
        <w:rPr>
          <w:rFonts w:cs="B Lotus" w:hint="cs"/>
          <w:rtl/>
        </w:rPr>
        <w:t>ی</w:t>
      </w:r>
      <w:r w:rsidRPr="006212BF">
        <w:rPr>
          <w:rFonts w:cs="B Lotus" w:hint="eastAsia"/>
          <w:rtl/>
        </w:rPr>
        <w:t>ن</w:t>
      </w:r>
      <w:r w:rsidRPr="006212BF">
        <w:rPr>
          <w:rFonts w:cs="B Lotus"/>
          <w:rtl/>
        </w:rPr>
        <w:t xml:space="preserve"> روش تکن</w:t>
      </w:r>
      <w:r w:rsidRPr="006212BF">
        <w:rPr>
          <w:rFonts w:cs="B Lotus" w:hint="cs"/>
          <w:rtl/>
        </w:rPr>
        <w:t>ی</w:t>
      </w:r>
      <w:r w:rsidRPr="006212BF">
        <w:rPr>
          <w:rFonts w:cs="B Lotus" w:hint="eastAsia"/>
          <w:rtl/>
        </w:rPr>
        <w:t>ک</w:t>
      </w:r>
      <w:r w:rsidRPr="006212BF">
        <w:rPr>
          <w:rFonts w:cs="B Lotus"/>
          <w:rtl/>
        </w:rPr>
        <w:t xml:space="preserve"> ها</w:t>
      </w:r>
      <w:r w:rsidRPr="006212BF">
        <w:rPr>
          <w:rFonts w:cs="B Lotus" w:hint="cs"/>
          <w:rtl/>
        </w:rPr>
        <w:t>ی</w:t>
      </w:r>
      <w:r w:rsidRPr="006212BF">
        <w:rPr>
          <w:rFonts w:cs="B Lotus"/>
          <w:rtl/>
        </w:rPr>
        <w:t xml:space="preserve"> پ</w:t>
      </w:r>
      <w:r w:rsidRPr="006212BF">
        <w:rPr>
          <w:rFonts w:cs="B Lotus" w:hint="cs"/>
          <w:rtl/>
        </w:rPr>
        <w:t>ی</w:t>
      </w:r>
      <w:r w:rsidRPr="006212BF">
        <w:rPr>
          <w:rFonts w:cs="B Lotus" w:hint="eastAsia"/>
          <w:rtl/>
        </w:rPr>
        <w:t>شرو</w:t>
      </w:r>
      <w:r w:rsidRPr="006212BF">
        <w:rPr>
          <w:rFonts w:cs="B Lotus" w:hint="cs"/>
          <w:rtl/>
        </w:rPr>
        <w:t>ی</w:t>
      </w:r>
      <w:r w:rsidRPr="006212BF">
        <w:rPr>
          <w:rFonts w:cs="B Lotus"/>
          <w:rtl/>
        </w:rPr>
        <w:t xml:space="preserve"> </w:t>
      </w:r>
      <w:r w:rsidRPr="006212BF">
        <w:rPr>
          <w:rFonts w:cs="B Lotus"/>
        </w:rPr>
        <w:t>PROMETHEE</w:t>
      </w:r>
      <w:r w:rsidRPr="006212BF">
        <w:rPr>
          <w:rFonts w:cs="B Lotus"/>
          <w:rtl/>
        </w:rPr>
        <w:t xml:space="preserve"> و </w:t>
      </w:r>
      <w:r w:rsidRPr="006212BF">
        <w:rPr>
          <w:rFonts w:cs="B Lotus"/>
        </w:rPr>
        <w:t>ELECTRE</w:t>
      </w:r>
      <w:r w:rsidRPr="006212BF">
        <w:rPr>
          <w:rFonts w:cs="B Lotus"/>
          <w:rtl/>
        </w:rPr>
        <w:t xml:space="preserve"> است</w:t>
      </w:r>
      <w:r w:rsidRPr="00262069">
        <w:rPr>
          <w:rFonts w:cs="B Lotus"/>
          <w:rtl/>
        </w:rPr>
        <w:fldChar w:fldCharType="begin" w:fldLock="1"/>
      </w:r>
      <w:r>
        <w:rPr>
          <w:rFonts w:cs="B Lotus"/>
        </w:rPr>
        <w:instrText>ADDIN CSL_CITATION { "citationItems" : [ { "id" : "ITEM-1", "itemData" : { "DOI" : "10.1016/j.rser.2003.12.007", "ISBN" : "1364-0321", "ISSN" : "13640321", "PMID" : "9177688", "abstract" : "Multi-Criteria Decision Making (MCDM) techniques are gaining popularity in sustainable energy management. The techniques provide solutions to the problems involving conflicting and multiple objectives. Several methods based on weighted averages, priority setting, outranking, fuzzy principles and their combinations are employed for energy planning decisions. A review of more than 90 published papers is presented here to analyze the applicability of various methods discussed. A classification on application areas and the year of application is presented to highlight the trends. It is observed that Analytical Hierarchy Process is the most popular technique followed by outranking techniques PROMETHEE and ELECTRE. Validation of results with multiple methods, development of interactive decision support systems and application of fuzzy methods to tackle uncertainties in the data is observed in the published literature. \u00a9 2004 Elsevier Ltd. All rights reserved.", "author" : [ { "dropping-particle" : "", "family" : "Pohekar", "given" : "S. D.", "non-dropping-particle" : "", "parse-names" : false, "suffix" : "" }, { "dropping-particle" : "", "family" : "Ramachandran", "given" : "M.", "non-dropping-particle" : "", "parse-names" : false, "suffix" : "" } ], "container-title" : "Renewable and Sustainable Energy Reviews", "id" : "ITEM-1", "issue" : "4", "issued" : { "date-parts" : [ [ "2004" ] ] }, "page" : "365-381", "title" : "Application of multi-criteria decision making to sustainable energy planning - A review", "type" : "article-journal", "volume" : "8" }, "uris" : [ "http://www.mendeley.com/documents/?uuid=516b46de-5bdf-4007-9b74-4f8d4264c1be" ] } ], "mendeley" : { "formattedCitation" : "(Pohekar &amp; Ramachandran, 2004)", "plainTextFormattedCitation" : "(Pohekar &amp; Ramachandran, 2004)", "previouslyFormattedCitation" : "(Pohekar &amp; Ramachandran, 2004)" }, "properties" : {  }, "schema" : "https://github.com/citation-style-language/schema/raw/master/csl-citation.json" }</w:instrText>
      </w:r>
      <w:r w:rsidRPr="00262069">
        <w:rPr>
          <w:rFonts w:cs="B Lotus"/>
          <w:rtl/>
        </w:rPr>
        <w:fldChar w:fldCharType="separate"/>
      </w:r>
      <w:r w:rsidRPr="00BB5C08">
        <w:rPr>
          <w:rFonts w:cs="B Lotus"/>
          <w:noProof/>
        </w:rPr>
        <w:t>(Pohekar &amp; Ramachandran, 2004)</w:t>
      </w:r>
      <w:r w:rsidRPr="00262069">
        <w:rPr>
          <w:rFonts w:cs="B Lotus"/>
          <w:rtl/>
        </w:rPr>
        <w:fldChar w:fldCharType="end"/>
      </w:r>
      <w:r w:rsidRPr="006212BF">
        <w:rPr>
          <w:rFonts w:cs="B Lotus"/>
          <w:rtl/>
        </w:rPr>
        <w:t xml:space="preserve">. </w:t>
      </w:r>
    </w:p>
    <w:p w14:paraId="61028AA5" w14:textId="77777777" w:rsidR="00AB6491" w:rsidRDefault="00AB6491" w:rsidP="002F0D7F">
      <w:pPr>
        <w:bidi/>
        <w:rPr>
          <w:rFonts w:cs="B Lotus"/>
          <w:rtl/>
        </w:rPr>
      </w:pPr>
      <w:r>
        <w:rPr>
          <w:rFonts w:cs="B Lotus" w:hint="cs"/>
          <w:rtl/>
          <w:lang w:bidi="fa-IR"/>
        </w:rPr>
        <w:t xml:space="preserve">کوالسکی و همکارانش </w:t>
      </w:r>
      <w:r w:rsidRPr="00262069">
        <w:rPr>
          <w:rFonts w:cs="B Lotus"/>
          <w:rtl/>
        </w:rPr>
        <w:t>استفاده ترکیبی از ساخت سناریو و تجزیه و تحلیل چند معیاره مشارکتی (</w:t>
      </w:r>
      <w:r w:rsidRPr="00262069">
        <w:rPr>
          <w:rFonts w:cs="B Lotus"/>
        </w:rPr>
        <w:t>PMCA</w:t>
      </w:r>
      <w:r w:rsidRPr="00262069">
        <w:rPr>
          <w:rFonts w:cs="B Lotus"/>
          <w:rtl/>
        </w:rPr>
        <w:t>) در زمینه انرژی تجدید پذیر از دیدگاه روش شناختی مورد بررسی قرار داده اند</w:t>
      </w:r>
      <w:r>
        <w:rPr>
          <w:rFonts w:cs="B Lotus" w:hint="cs"/>
          <w:rtl/>
        </w:rPr>
        <w:t>.</w:t>
      </w:r>
      <w:r w:rsidRPr="00262069">
        <w:rPr>
          <w:rFonts w:cs="B Lotus"/>
          <w:rtl/>
        </w:rPr>
        <w:t xml:space="preserve"> به طور سیستماتیک پتانسیل ها و محدودیت های روش شناسی (1) را برای رفع پیچیدگی تصمیم گیری درمورد پیامدهای دراز مدت تغییرات در سیستم های اقتصادی اجتماعی و بیوفیزیکی و (2) برای بهبود آینده انرژی ارزیابی </w:t>
      </w:r>
      <w:r>
        <w:rPr>
          <w:rFonts w:cs="B Lotus" w:hint="cs"/>
          <w:rtl/>
        </w:rPr>
        <w:t>کرده</w:t>
      </w:r>
      <w:r>
        <w:rPr>
          <w:rFonts w:cs="B Lotus"/>
          <w:rtl/>
        </w:rPr>
        <w:softHyphen/>
      </w:r>
      <w:r>
        <w:rPr>
          <w:rFonts w:cs="B Lotus" w:hint="cs"/>
          <w:rtl/>
        </w:rPr>
        <w:t>اند</w:t>
      </w:r>
      <w:r w:rsidRPr="00262069">
        <w:rPr>
          <w:rFonts w:cs="B Lotus"/>
          <w:rtl/>
        </w:rPr>
        <w:t xml:space="preserve">. نتیجه </w:t>
      </w:r>
      <w:r>
        <w:rPr>
          <w:rFonts w:cs="B Lotus" w:hint="cs"/>
          <w:rtl/>
        </w:rPr>
        <w:t>گرفته</w:t>
      </w:r>
      <w:r>
        <w:rPr>
          <w:rFonts w:cs="B Lotus"/>
          <w:rtl/>
        </w:rPr>
        <w:softHyphen/>
      </w:r>
      <w:r>
        <w:rPr>
          <w:rFonts w:cs="B Lotus" w:hint="cs"/>
          <w:rtl/>
        </w:rPr>
        <w:t xml:space="preserve">اند </w:t>
      </w:r>
      <w:r w:rsidRPr="00262069">
        <w:rPr>
          <w:rFonts w:cs="B Lotus"/>
          <w:rtl/>
        </w:rPr>
        <w:t xml:space="preserve">که ارزیابی سناریوها با </w:t>
      </w:r>
      <w:r w:rsidRPr="00262069">
        <w:rPr>
          <w:rFonts w:cs="B Lotus"/>
        </w:rPr>
        <w:t>PMCA</w:t>
      </w:r>
      <w:r w:rsidRPr="00262069">
        <w:rPr>
          <w:rFonts w:cs="B Lotus"/>
          <w:rtl/>
        </w:rPr>
        <w:t xml:space="preserve"> دارا منابع غنی است، اما این روش با موفقیت مفهوم استفاده از فناوری ها را دریافت میکند و اجازه می دهد تصمیم گیری بر اساس یک پروسه ی قوی و دموکراتیک که به عدم قطعیت رسیدگی کند، چشم اندازهای قانونی متعدد را تشخیص دهد و یادگیری اجتماعی را تشویق کند</w:t>
      </w:r>
      <w:r w:rsidRPr="00262069">
        <w:rPr>
          <w:rFonts w:cs="B Lotus"/>
          <w:rtl/>
        </w:rPr>
        <w:fldChar w:fldCharType="begin" w:fldLock="1"/>
      </w:r>
      <w:r>
        <w:rPr>
          <w:rFonts w:cs="B Lotus"/>
        </w:rPr>
        <w:instrText>ADDIN CSL_CITATION { "citationItems" : [ { "id" : "ITEM-1", "itemData" : { "DOI" : "10.1016/j.ejor.2007.12.049", "ISBN" : "0377-2217", "ISSN" : "03772217", "abstract" : "This paper analyses the combined use of scenario building and participatory multi-criteria analysis (PMCA) in the context of renewable energy from a methodological point of view. Scenarios have been applied increasingly in decision-making about long-term consequences by projecting different possible pathways into the future. Scenario analysis accounts for a higher degree of complexity inherent in systems than the study of individual projects or technologies. MCA is a widely used appraisal method, which assesses options on the basis of a multi-dimensional criteria framework and calculates rankings of options. In our study, five renewable energy scenarios for Austria for 2020 were appraised against 17 sustainability criteria. A similar process was undertaken on the local level, where four renewable energy scenarios were developed and evaluated against 15 criteria. On both levels, the scenario development consisted of two stages: first an exploratory stage with stakeholder engagement and second a modelling stage with forecasting-type scenarios. Thus, the scenarios consist of a narrative part (storyline) and a modeled quantitative part. The preferences of national and local energy stakeholders were included in the form of criteria weights derived from interviews and participatory group processes, respectively. Especially in the case of renewable energy promotion in Austria, the paper systematically analyses the potentials and limitations of the methodology (1) for capturing the complexity of decision-making about the long-term consequences of changes in socio-economic and biophysical systems and (2) for appraising energy futures. The paper concludes that assessing scenarios with PMCA is resource intense, but this methodology captures successfully the context of technology deployment and allows decision-making based on a robust and democratic process, which addresses uncertainties, acknowledges multiple legitimate perspectives and encourages social learning. \u00a9 2008 Elsevier B.V. All rights reserved.", "author" : [ { "dropping-particle" : "", "family" : "Kowalski", "given" : "Katharina", "non-dropping-particle" : "", "parse-names" : false, "suffix" : "" }, { "dropping-particle" : "", "family" : "Stagl", "given" : "Sigrid", "non-dropping-particle" : "", "parse-names" : false, "suffix" : "" }, { "dropping-particle" : "", "family" : "Madlener", "given" : "Reinhard", "non-dropping-particle" : "", "parse-names" : false, "suffix" : "" }, { "dropping-particle" : "", "family" : "Omann", "given" : "Ines", "non-dropping-particle" : "", "parse-names" : false, "suffix" : "" } ], "container-title" : "European Journal of Operational Research", "id" : "ITEM-1", "issue" : "3", "issued" : { "date-parts" : [ [ "2009" ] ] }, "page" : "1063-1074", "publisher" : "Elsevier B.V.", "title" : "Sustainable energy futures: Methodological challenges in combining scenarios and participatory multi-criteria analysis", "type" : "article-journal", "volume" : "197" }, "uris" : [ "http://www.mendeley.com/documents/?uuid=f107b4bb-a313-4e7c-9f81-0b02e205da3c" ] } ], "mendeley" : { "formattedCitation" : "(Kowalski, Stagl, Madlener, &amp; Omann, 2009)", "plainTextFormattedCitation" : "(Kowalski, Stagl, Madlener, &amp; Omann, 2009)", "previouslyFormattedCitation" : "(Kowalski, Stagl, Madlener, &amp; Omann, 2009)" }, "properties" : {  }, "schema" : "https://github.com/citation-style-language/schema/raw/master/csl-citation.json" }</w:instrText>
      </w:r>
      <w:r w:rsidRPr="00262069">
        <w:rPr>
          <w:rFonts w:cs="B Lotus"/>
          <w:rtl/>
        </w:rPr>
        <w:fldChar w:fldCharType="separate"/>
      </w:r>
      <w:r w:rsidRPr="00BB5C08">
        <w:rPr>
          <w:rFonts w:cs="B Lotus"/>
          <w:noProof/>
        </w:rPr>
        <w:t>(Kowalski, Stagl, Madlener, &amp; Omann, 2009)</w:t>
      </w:r>
      <w:r w:rsidRPr="00262069">
        <w:rPr>
          <w:rFonts w:cs="B Lotus"/>
          <w:rtl/>
        </w:rPr>
        <w:fldChar w:fldCharType="end"/>
      </w:r>
      <w:r>
        <w:rPr>
          <w:rFonts w:cs="B Lotus" w:hint="cs"/>
          <w:rtl/>
        </w:rPr>
        <w:t>.</w:t>
      </w:r>
    </w:p>
    <w:p w14:paraId="398DCFEE" w14:textId="77777777" w:rsidR="00AB6491" w:rsidRDefault="00AB6491" w:rsidP="002F0D7F">
      <w:pPr>
        <w:bidi/>
        <w:rPr>
          <w:rFonts w:cs="B Lotus"/>
        </w:rPr>
      </w:pPr>
      <w:r>
        <w:rPr>
          <w:rFonts w:cs="B Lotus" w:hint="cs"/>
          <w:rtl/>
        </w:rPr>
        <w:t xml:space="preserve">ثری و زاراته </w:t>
      </w:r>
      <w:r w:rsidRPr="00262069">
        <w:rPr>
          <w:rFonts w:cs="B Lotus"/>
          <w:rtl/>
        </w:rPr>
        <w:t xml:space="preserve">یک تحلیل آینده نگری در توسعه یک ساختار تصمیم گیری چند </w:t>
      </w:r>
      <w:r>
        <w:rPr>
          <w:rFonts w:cs="B Lotus"/>
          <w:rtl/>
        </w:rPr>
        <w:t>سطحی و چند شاخصی طرح ریزی انرژی توسعه</w:t>
      </w:r>
      <w:r>
        <w:rPr>
          <w:rFonts w:cs="B Lotus" w:hint="cs"/>
          <w:rtl/>
        </w:rPr>
        <w:t xml:space="preserve"> داده</w:t>
      </w:r>
      <w:r>
        <w:rPr>
          <w:rFonts w:cs="B Lotus"/>
          <w:rtl/>
        </w:rPr>
        <w:softHyphen/>
      </w:r>
      <w:r>
        <w:rPr>
          <w:rFonts w:cs="B Lotus" w:hint="cs"/>
          <w:rtl/>
        </w:rPr>
        <w:t>اند</w:t>
      </w:r>
      <w:r w:rsidRPr="00262069">
        <w:rPr>
          <w:rFonts w:cs="B Lotus"/>
          <w:rtl/>
        </w:rPr>
        <w:t xml:space="preserve">. این تجزیه و تحلیل بر اساس بررسی خاصیت زنجیره ی عرضه انرژی و همچنین وضعیتی </w:t>
      </w:r>
      <w:r>
        <w:rPr>
          <w:rFonts w:cs="B Lotus" w:hint="cs"/>
          <w:rtl/>
        </w:rPr>
        <w:t>بوده</w:t>
      </w:r>
      <w:r>
        <w:rPr>
          <w:rFonts w:cs="B Lotus"/>
          <w:rtl/>
        </w:rPr>
        <w:softHyphen/>
      </w:r>
      <w:r>
        <w:rPr>
          <w:rFonts w:cs="B Lotus" w:hint="cs"/>
          <w:rtl/>
        </w:rPr>
        <w:t>است</w:t>
      </w:r>
      <w:r w:rsidRPr="00262069">
        <w:rPr>
          <w:rFonts w:cs="B Lotus"/>
          <w:rtl/>
        </w:rPr>
        <w:t xml:space="preserve"> که با هدف طبقه بندی مسائل با توجه به افق زمانی و اندازه منطقه جغرافیایی مورد حل شده اند</w:t>
      </w:r>
      <w:r>
        <w:rPr>
          <w:rFonts w:cs="B Lotus" w:hint="cs"/>
          <w:rtl/>
        </w:rPr>
        <w:t>.</w:t>
      </w:r>
      <w:r w:rsidRPr="00262069">
        <w:rPr>
          <w:rFonts w:cs="B Lotus"/>
          <w:rtl/>
        </w:rPr>
        <w:t xml:space="preserve"> برای سطح استراتژیک،</w:t>
      </w:r>
      <w:r>
        <w:rPr>
          <w:rFonts w:cs="B Lotus" w:hint="cs"/>
          <w:rtl/>
        </w:rPr>
        <w:t xml:space="preserve"> از</w:t>
      </w:r>
      <w:r w:rsidRPr="00262069">
        <w:rPr>
          <w:rFonts w:cs="B Lotus"/>
          <w:rtl/>
        </w:rPr>
        <w:t xml:space="preserve"> یک روش تصمیم گیری چند منظوره به عنوان </w:t>
      </w:r>
      <w:r w:rsidRPr="00262069">
        <w:rPr>
          <w:rFonts w:cs="B Lotus"/>
        </w:rPr>
        <w:t>Electre</w:t>
      </w:r>
      <w:r>
        <w:rPr>
          <w:rFonts w:cs="B Lotus" w:hint="cs"/>
          <w:rtl/>
        </w:rPr>
        <w:t xml:space="preserve"> استفاده شده</w:t>
      </w:r>
      <w:r w:rsidRPr="00262069">
        <w:rPr>
          <w:rFonts w:cs="B Lotus"/>
          <w:rtl/>
          <w:lang w:bidi="fa-IR"/>
        </w:rPr>
        <w:t>است</w:t>
      </w:r>
      <w:r w:rsidRPr="00262069">
        <w:rPr>
          <w:rFonts w:cs="B Lotus"/>
          <w:rtl/>
        </w:rPr>
        <w:t>. برای سطوح پایین تر، روش های بهینه سازی ریاضی، تصادفی یا ترکیبی را می توان مورد استفاده قرار داد.</w:t>
      </w:r>
      <w:r>
        <w:rPr>
          <w:rFonts w:cs="B Lotus" w:hint="cs"/>
          <w:rtl/>
        </w:rPr>
        <w:t xml:space="preserve"> </w:t>
      </w:r>
      <w:r w:rsidRPr="00262069">
        <w:rPr>
          <w:rFonts w:cs="B Lotus" w:hint="cs"/>
          <w:rtl/>
        </w:rPr>
        <w:t>این</w:t>
      </w:r>
      <w:r w:rsidRPr="00262069">
        <w:rPr>
          <w:rFonts w:cs="B Lotus"/>
          <w:rtl/>
        </w:rPr>
        <w:t xml:space="preserve"> </w:t>
      </w:r>
      <w:r w:rsidRPr="00262069">
        <w:rPr>
          <w:rFonts w:cs="B Lotus" w:hint="cs"/>
          <w:rtl/>
        </w:rPr>
        <w:t>نوع</w:t>
      </w:r>
      <w:r w:rsidRPr="00262069">
        <w:rPr>
          <w:rFonts w:cs="B Lotus"/>
          <w:rtl/>
        </w:rPr>
        <w:t xml:space="preserve"> </w:t>
      </w:r>
      <w:r w:rsidRPr="00262069">
        <w:rPr>
          <w:rFonts w:cs="B Lotus" w:hint="cs"/>
          <w:rtl/>
        </w:rPr>
        <w:t>فرآیند</w:t>
      </w:r>
      <w:r w:rsidRPr="00262069">
        <w:rPr>
          <w:rFonts w:cs="B Lotus"/>
          <w:rtl/>
        </w:rPr>
        <w:t xml:space="preserve"> </w:t>
      </w:r>
      <w:r w:rsidRPr="00262069">
        <w:rPr>
          <w:rFonts w:cs="B Lotus" w:hint="cs"/>
          <w:rtl/>
        </w:rPr>
        <w:t>تصمیم</w:t>
      </w:r>
      <w:r w:rsidRPr="00262069">
        <w:rPr>
          <w:rFonts w:cs="B Lotus"/>
          <w:rtl/>
        </w:rPr>
        <w:t xml:space="preserve"> </w:t>
      </w:r>
      <w:r w:rsidRPr="00262069">
        <w:rPr>
          <w:rFonts w:cs="B Lotus" w:hint="cs"/>
          <w:rtl/>
        </w:rPr>
        <w:t>گیری</w:t>
      </w:r>
      <w:r w:rsidRPr="00262069">
        <w:rPr>
          <w:rFonts w:cs="B Lotus"/>
          <w:rtl/>
        </w:rPr>
        <w:t xml:space="preserve"> </w:t>
      </w:r>
      <w:r w:rsidRPr="00262069">
        <w:rPr>
          <w:rFonts w:cs="B Lotus" w:hint="cs"/>
          <w:rtl/>
        </w:rPr>
        <w:t>می</w:t>
      </w:r>
      <w:r w:rsidRPr="00262069">
        <w:rPr>
          <w:rFonts w:cs="B Lotus"/>
          <w:rtl/>
        </w:rPr>
        <w:t xml:space="preserve"> </w:t>
      </w:r>
      <w:r w:rsidRPr="00262069">
        <w:rPr>
          <w:rFonts w:cs="B Lotus" w:hint="cs"/>
          <w:rtl/>
        </w:rPr>
        <w:t>تواند</w:t>
      </w:r>
      <w:r w:rsidRPr="00262069">
        <w:rPr>
          <w:rFonts w:cs="B Lotus"/>
          <w:rtl/>
        </w:rPr>
        <w:t xml:space="preserve"> </w:t>
      </w:r>
      <w:r w:rsidRPr="00262069">
        <w:rPr>
          <w:rFonts w:cs="B Lotus" w:hint="cs"/>
          <w:rtl/>
        </w:rPr>
        <w:t>کارآمد</w:t>
      </w:r>
      <w:r w:rsidRPr="00262069">
        <w:rPr>
          <w:rFonts w:cs="B Lotus"/>
          <w:rtl/>
        </w:rPr>
        <w:t xml:space="preserve"> </w:t>
      </w:r>
      <w:r w:rsidRPr="00262069">
        <w:rPr>
          <w:rFonts w:cs="B Lotus" w:hint="cs"/>
          <w:rtl/>
        </w:rPr>
        <w:t>باشد،</w:t>
      </w:r>
      <w:r w:rsidRPr="00262069">
        <w:rPr>
          <w:rFonts w:cs="B Lotus"/>
          <w:rtl/>
        </w:rPr>
        <w:t xml:space="preserve"> </w:t>
      </w:r>
      <w:r w:rsidRPr="00262069">
        <w:rPr>
          <w:rFonts w:cs="B Lotus" w:hint="cs"/>
          <w:rtl/>
        </w:rPr>
        <w:t>فقط</w:t>
      </w:r>
      <w:r w:rsidRPr="00262069">
        <w:rPr>
          <w:rFonts w:cs="B Lotus"/>
          <w:rtl/>
        </w:rPr>
        <w:t xml:space="preserve"> </w:t>
      </w:r>
      <w:r w:rsidRPr="00262069">
        <w:rPr>
          <w:rFonts w:cs="B Lotus" w:hint="cs"/>
          <w:rtl/>
        </w:rPr>
        <w:t>اگر</w:t>
      </w:r>
      <w:r w:rsidRPr="00262069">
        <w:rPr>
          <w:rFonts w:cs="B Lotus"/>
          <w:rtl/>
        </w:rPr>
        <w:t xml:space="preserve"> </w:t>
      </w:r>
      <w:r w:rsidRPr="00262069">
        <w:rPr>
          <w:rFonts w:cs="B Lotus" w:hint="cs"/>
          <w:rtl/>
        </w:rPr>
        <w:t>تصمیم</w:t>
      </w:r>
      <w:r w:rsidRPr="00262069">
        <w:rPr>
          <w:rFonts w:cs="B Lotus"/>
          <w:rtl/>
        </w:rPr>
        <w:t xml:space="preserve"> </w:t>
      </w:r>
      <w:r w:rsidRPr="00262069">
        <w:rPr>
          <w:rFonts w:cs="B Lotus" w:hint="cs"/>
          <w:rtl/>
        </w:rPr>
        <w:t>گیری</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یک</w:t>
      </w:r>
      <w:r w:rsidRPr="00262069">
        <w:rPr>
          <w:rFonts w:cs="B Lotus"/>
          <w:rtl/>
        </w:rPr>
        <w:t xml:space="preserve"> </w:t>
      </w:r>
      <w:r w:rsidRPr="00262069">
        <w:rPr>
          <w:rFonts w:cs="B Lotus" w:hint="cs"/>
          <w:rtl/>
        </w:rPr>
        <w:t>سطح</w:t>
      </w:r>
      <w:r w:rsidRPr="00262069">
        <w:rPr>
          <w:rFonts w:cs="B Lotus"/>
          <w:rtl/>
        </w:rPr>
        <w:t xml:space="preserve"> </w:t>
      </w:r>
      <w:r w:rsidRPr="00262069">
        <w:rPr>
          <w:rFonts w:cs="B Lotus" w:hint="cs"/>
          <w:rtl/>
        </w:rPr>
        <w:t>خاص</w:t>
      </w:r>
      <w:r w:rsidRPr="00262069">
        <w:rPr>
          <w:rFonts w:cs="B Lotus"/>
          <w:rtl/>
        </w:rPr>
        <w:t xml:space="preserve"> </w:t>
      </w:r>
      <w:r w:rsidRPr="00262069">
        <w:rPr>
          <w:rFonts w:cs="B Lotus" w:hint="cs"/>
          <w:rtl/>
        </w:rPr>
        <w:t>صورت</w:t>
      </w:r>
      <w:r w:rsidRPr="00262069">
        <w:rPr>
          <w:rFonts w:cs="B Lotus"/>
          <w:rtl/>
        </w:rPr>
        <w:t xml:space="preserve"> </w:t>
      </w:r>
      <w:r w:rsidRPr="00262069">
        <w:rPr>
          <w:rFonts w:cs="B Lotus" w:hint="cs"/>
          <w:rtl/>
        </w:rPr>
        <w:t>بگیرد</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این</w:t>
      </w:r>
      <w:r w:rsidRPr="00262069">
        <w:rPr>
          <w:rFonts w:cs="B Lotus"/>
          <w:rtl/>
        </w:rPr>
        <w:t xml:space="preserve"> </w:t>
      </w:r>
      <w:r w:rsidRPr="00262069">
        <w:rPr>
          <w:rFonts w:cs="B Lotus" w:hint="cs"/>
          <w:rtl/>
        </w:rPr>
        <w:t>بسته</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محدودیت</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ناشی</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سطح</w:t>
      </w:r>
      <w:r w:rsidRPr="00262069">
        <w:rPr>
          <w:rFonts w:cs="B Lotus"/>
          <w:rtl/>
        </w:rPr>
        <w:t xml:space="preserve"> </w:t>
      </w:r>
      <w:r w:rsidRPr="00262069">
        <w:rPr>
          <w:rFonts w:cs="B Lotus" w:hint="cs"/>
          <w:rtl/>
        </w:rPr>
        <w:t>پایین</w:t>
      </w:r>
      <w:r w:rsidRPr="00262069">
        <w:rPr>
          <w:rFonts w:cs="B Lotus"/>
          <w:rtl/>
        </w:rPr>
        <w:t xml:space="preserve"> </w:t>
      </w:r>
      <w:r w:rsidRPr="00262069">
        <w:rPr>
          <w:rFonts w:cs="B Lotus" w:hint="cs"/>
          <w:rtl/>
        </w:rPr>
        <w:t>تر</w:t>
      </w:r>
      <w:r w:rsidRPr="00262069">
        <w:rPr>
          <w:rFonts w:cs="B Lotus"/>
          <w:rtl/>
        </w:rPr>
        <w:t xml:space="preserve"> </w:t>
      </w:r>
      <w:r w:rsidRPr="00262069">
        <w:rPr>
          <w:rFonts w:cs="B Lotus" w:hint="cs"/>
          <w:rtl/>
        </w:rPr>
        <w:t>باشد</w:t>
      </w:r>
      <w:r w:rsidRPr="00262069">
        <w:rPr>
          <w:rFonts w:cs="B Lotus"/>
          <w:rtl/>
        </w:rPr>
        <w:t>..</w:t>
      </w:r>
      <w:r w:rsidRPr="00262069">
        <w:rPr>
          <w:rFonts w:cs="B Lotus"/>
          <w:rtl/>
        </w:rPr>
        <w:fldChar w:fldCharType="begin" w:fldLock="1"/>
      </w:r>
      <w:r>
        <w:rPr>
          <w:rFonts w:cs="B Lotus"/>
        </w:rPr>
        <w:instrText>ADDIN CSL_CITATION { "citationItems" : [ { "id" : "ITEM-1", "itemData" : { "DOI" : "10.1007/s10100-009-0091-5", "ISBN" : "1435-246X", "ISSN" : "1435246X", "abstract" : "Energy planning is a complex issue because of its multi-scale and multicriteria issues. In this contribution, a prospective analysis on the development of a multi-level and multicriteria decision-making structure dedicated to energy planning is developed. This analysis is based on an examination of the specificity of the energy supply chain as well as a state of the art aimed at classifying the issues solved according to the time horizon and size of the geographical area under consideration (models developed, the degree of accuracy of the information used, criteria taken into account). [ABSTRACT FROM AUTHOR]", "author" : [ { "dropping-particle" : "", "family" : "Thery", "given" : "Rapha\u00eble", "non-dropping-particle" : "", "parse-names" : false, "suffix" : "" }, { "dropping-particle" : "", "family" : "Zarate", "given" : "Pascale", "non-dropping-particle" : "", "parse-names" : false, "suffix" : "" } ], "container-title" : "Central European Journal of Operations Research", "id" : "ITEM-1", "issue" : "3", "issued" : { "date-parts" : [ [ "2009" ] ] }, "page" : "265-274", "title" : "Energy planning: A multi-level and multicriteria decision making structure proposal", "type" : "article-journal", "volume" : "17" }, "uris" : [ "http://www.mendeley.com/documents/?uuid=8cb2df80-cf81-4391-9d99-ece909261fe3" ] } ], "mendeley" : { "formattedCitation" : "(Thery &amp; Zarate, 2009)", "plainTextFormattedCitation" : "(Thery &amp; Zarate, 2009)", "previouslyFormattedCitation" : "(Thery &amp; Zarate, 2009)" }, "properties" : {  }, "schema" : "https://github.com/citation-style-language/schema/raw/master/csl-citation.json" }</w:instrText>
      </w:r>
      <w:r w:rsidRPr="00262069">
        <w:rPr>
          <w:rFonts w:cs="B Lotus"/>
          <w:rtl/>
        </w:rPr>
        <w:fldChar w:fldCharType="separate"/>
      </w:r>
      <w:r w:rsidRPr="00BB5C08">
        <w:rPr>
          <w:rFonts w:cs="B Lotus"/>
          <w:noProof/>
        </w:rPr>
        <w:t>(Thery &amp; Zarate, 2009)</w:t>
      </w:r>
      <w:r w:rsidRPr="00262069">
        <w:rPr>
          <w:rFonts w:cs="B Lotus"/>
          <w:rtl/>
        </w:rPr>
        <w:fldChar w:fldCharType="end"/>
      </w:r>
      <w:r w:rsidRPr="00262069">
        <w:rPr>
          <w:rFonts w:cs="B Lotus"/>
          <w:rtl/>
        </w:rPr>
        <w:t>.</w:t>
      </w:r>
    </w:p>
    <w:p w14:paraId="106EBE32" w14:textId="77777777" w:rsidR="00AB6491" w:rsidRDefault="00AB6491" w:rsidP="002F0D7F">
      <w:pPr>
        <w:bidi/>
        <w:rPr>
          <w:rFonts w:cs="B Lotus"/>
          <w:rtl/>
        </w:rPr>
      </w:pPr>
      <w:r w:rsidRPr="00262069">
        <w:rPr>
          <w:rFonts w:cs="B Lotus"/>
        </w:rPr>
        <w:t>.</w:t>
      </w:r>
      <w:r w:rsidRPr="00262069">
        <w:rPr>
          <w:rFonts w:cs="B Lotus"/>
        </w:rPr>
        <w:fldChar w:fldCharType="begin" w:fldLock="1"/>
      </w:r>
      <w:r>
        <w:rPr>
          <w:rFonts w:cs="B Lotus"/>
        </w:rPr>
        <w:instrText>ADDIN CSL_CITATION { "citationItems" : [ { "id" : "ITEM-1", "itemData" : { "DOI" : "10.1016/j.rser.2009.06.021", "ISBN" : "1364-0321", "ISSN" : "13640321", "abstract" : "Multi-criteria decision analysis (MCDA) methods have become increasingly popular in decision-making for sustainable energy because of the multi-dimensionality of the sustainability goal and the complexity of socio-economic and biophysical systems. This article reviewed the corresponding methods in different stages of multi-criteria decision-making for sustainable energy, i.e., criteria selection, criteria weighting, evaluation, and final aggregation. The criteria of energy supply systems are summarized from technical, economic, environmental and social aspects. The weighting methods of criteria are classified into three categories: subjective weighting, objective weighting and combination weighting methods. Several methods based on weighted sum, priority setting, outranking, fuzzy set methodology and their combinations are employed for energy decision-making. It is observed that the investment cost locates the first place in all evaluation criteria and CO2 emission follows closely because of more focuses on environment protection, equal criteria weights are still the most popular weighting method, analytical hierarchy process is the most popular comprehensive MCDA method, and the aggregation methods are helpful to get the rational result in sustainable energy decision-making. \u00a9 2009 Elsevier Ltd. All rights reserved.", "author" : [ { "dropping-particle" : "", "family" : "Wang", "given" : "Jiang Jiang", "non-dropping-particle" : "", "parse-names" : false, "suffix" : "" }, { "dropping-particle" : "", "family" : "Jing", "given" : "You Yin", "non-dropping-particle" : "", "parse-names" : false, "suffix" : "" }, { "dropping-particle" : "", "family" : "Zhang", "given" : "Chun Fa", "non-dropping-particle" : "", "parse-names" : false, "suffix" : "" }, { "dropping-particle" : "", "family" : "Zhao", "given" : "Jun Hong", "non-dropping-particle" : "", "parse-names" : false, "suffix" : "" } ], "container-title" : "Renewable and Sustainable Energy Reviews", "id" : "ITEM-1", "issue" : "9", "issued" : { "date-parts" : [ [ "2009" ] ] }, "page" : "2263-2278", "title" : "Review on multi-criteria decision analysis aid in sustainable energy decision-making", "type" : "article-journal", "volume" : "13" }, "uris" : [ "http://www.mendeley.com/documents/?uuid=0b774187-d3f0-42fa-84be-798670983c72" ] } ], "mendeley" : { "formattedCitation" : "(J. J. Wang, Jing, Zhang, &amp; Zhao, 2009)", "plainTextFormattedCitation" : "(J. J. Wang, Jing, Zhang, &amp; Zhao, 2009)", "previouslyFormattedCitation" : "(J. J. Wang, Jing, Zhang, &amp; Zhao, 2009)" }, "properties" : {  }, "schema" : "https://github.com/citation-style-language/schema/raw/master/csl-citation.json" }</w:instrText>
      </w:r>
      <w:r w:rsidRPr="00262069">
        <w:rPr>
          <w:rFonts w:cs="B Lotus"/>
        </w:rPr>
        <w:fldChar w:fldCharType="separate"/>
      </w:r>
      <w:r w:rsidRPr="00BB5C08">
        <w:rPr>
          <w:rFonts w:cs="B Lotus"/>
          <w:noProof/>
        </w:rPr>
        <w:t>(J. J. Wang, Jing, Zhang, &amp; Zhao, 2009)</w:t>
      </w:r>
      <w:r w:rsidRPr="00262069">
        <w:rPr>
          <w:rFonts w:cs="B Lotus"/>
        </w:rPr>
        <w:fldChar w:fldCharType="end"/>
      </w:r>
      <w:r>
        <w:rPr>
          <w:rFonts w:cs="B Lotus" w:hint="cs"/>
          <w:rtl/>
        </w:rPr>
        <w:t xml:space="preserve">آنتونز و همکارانش </w:t>
      </w:r>
      <w:r w:rsidRPr="00262069">
        <w:rPr>
          <w:rFonts w:cs="B Lotus"/>
          <w:rtl/>
        </w:rPr>
        <w:t xml:space="preserve">در این مقاله یک رویکرد مبتنی بر </w:t>
      </w:r>
      <w:r w:rsidRPr="00262069">
        <w:rPr>
          <w:rFonts w:cs="B Lotus"/>
        </w:rPr>
        <w:t>SSM</w:t>
      </w:r>
      <w:r>
        <w:rPr>
          <w:rStyle w:val="FootnoteReference"/>
        </w:rPr>
        <w:footnoteReference w:id="1"/>
      </w:r>
      <w:r w:rsidRPr="00262069">
        <w:rPr>
          <w:rFonts w:cs="B Lotus"/>
          <w:rtl/>
        </w:rPr>
        <w:t xml:space="preserve"> برای ح</w:t>
      </w:r>
      <w:r>
        <w:rPr>
          <w:rFonts w:cs="B Lotus"/>
          <w:rtl/>
        </w:rPr>
        <w:t>مایت از تصمیم گیری در مشکلات طر</w:t>
      </w:r>
      <w:r>
        <w:rPr>
          <w:rFonts w:cs="B Lotus" w:hint="cs"/>
          <w:rtl/>
        </w:rPr>
        <w:t>ح</w:t>
      </w:r>
      <w:r>
        <w:rPr>
          <w:rFonts w:cs="B Lotus"/>
          <w:rtl/>
        </w:rPr>
        <w:softHyphen/>
      </w:r>
      <w:r w:rsidRPr="00262069">
        <w:rPr>
          <w:rFonts w:cs="B Lotus"/>
          <w:rtl/>
        </w:rPr>
        <w:t xml:space="preserve">ریزی انرژی </w:t>
      </w:r>
      <w:r>
        <w:rPr>
          <w:rFonts w:cs="B Lotus" w:hint="cs"/>
          <w:rtl/>
        </w:rPr>
        <w:t>به هدف توسعه ابزار</w:t>
      </w:r>
      <w:r>
        <w:rPr>
          <w:rFonts w:cs="B Lotus" w:hint="cs"/>
          <w:rtl/>
          <w:lang w:bidi="fa-IR"/>
        </w:rPr>
        <w:t xml:space="preserve"> تصمیم گیری چند منظوره</w:t>
      </w:r>
      <w:r>
        <w:rPr>
          <w:rStyle w:val="FootnoteReference"/>
          <w:rtl/>
          <w:lang w:bidi="fa-IR"/>
        </w:rPr>
        <w:footnoteReference w:id="2"/>
      </w:r>
      <w:r>
        <w:rPr>
          <w:rFonts w:cs="B Lotus" w:hint="cs"/>
          <w:rtl/>
        </w:rPr>
        <w:t xml:space="preserve"> </w:t>
      </w:r>
      <w:r>
        <w:rPr>
          <w:rFonts w:cs="B Lotus" w:hint="cs"/>
          <w:rtl/>
          <w:lang w:bidi="fa-IR"/>
        </w:rPr>
        <w:t xml:space="preserve">است. </w:t>
      </w:r>
      <w:r w:rsidRPr="00262069">
        <w:rPr>
          <w:rFonts w:cs="B Lotus"/>
          <w:rtl/>
        </w:rPr>
        <w:t xml:space="preserve">در این راستا روش </w:t>
      </w:r>
      <w:r w:rsidRPr="00262069">
        <w:rPr>
          <w:rFonts w:cs="B Lotus"/>
        </w:rPr>
        <w:t>ELECTRE TRI</w:t>
      </w:r>
      <w:r w:rsidRPr="00262069">
        <w:rPr>
          <w:rFonts w:cs="B Lotus"/>
          <w:rtl/>
        </w:rPr>
        <w:t xml:space="preserve"> </w:t>
      </w:r>
      <w:r w:rsidRPr="00262069">
        <w:rPr>
          <w:rFonts w:cs="B Lotus" w:hint="cs"/>
          <w:rtl/>
        </w:rPr>
        <w:t>انتخاب شده است که اجازه می دهد برای استفاده از مقیاس های مختلف (کیفی یا کمی) برای معیارهای مختلف استفاده شود.</w:t>
      </w:r>
      <w:r w:rsidRPr="00674E2C">
        <w:rPr>
          <w:rFonts w:cs="B Lotus"/>
          <w:rtl/>
        </w:rPr>
        <w:t xml:space="preserve"> ا</w:t>
      </w:r>
      <w:r w:rsidRPr="00674E2C">
        <w:rPr>
          <w:rFonts w:cs="B Lotus" w:hint="cs"/>
          <w:rtl/>
        </w:rPr>
        <w:t>ی</w:t>
      </w:r>
      <w:r w:rsidRPr="00674E2C">
        <w:rPr>
          <w:rFonts w:cs="B Lotus" w:hint="eastAsia"/>
          <w:rtl/>
        </w:rPr>
        <w:t>ن</w:t>
      </w:r>
      <w:r w:rsidRPr="00674E2C">
        <w:rPr>
          <w:rFonts w:cs="B Lotus"/>
          <w:rtl/>
        </w:rPr>
        <w:t xml:space="preserve"> امکان را برا</w:t>
      </w:r>
      <w:r w:rsidRPr="00674E2C">
        <w:rPr>
          <w:rFonts w:cs="B Lotus" w:hint="cs"/>
          <w:rtl/>
        </w:rPr>
        <w:t>ی</w:t>
      </w:r>
      <w:r w:rsidRPr="00674E2C">
        <w:rPr>
          <w:rFonts w:cs="B Lotus"/>
          <w:rtl/>
        </w:rPr>
        <w:t xml:space="preserve"> </w:t>
      </w:r>
      <w:r w:rsidRPr="00674E2C">
        <w:rPr>
          <w:rFonts w:cs="B Lotus"/>
          <w:rtl/>
        </w:rPr>
        <w:lastRenderedPageBreak/>
        <w:t>ارز</w:t>
      </w:r>
      <w:r w:rsidRPr="00674E2C">
        <w:rPr>
          <w:rFonts w:cs="B Lotus" w:hint="cs"/>
          <w:rtl/>
        </w:rPr>
        <w:t>ی</w:t>
      </w:r>
      <w:r w:rsidRPr="00674E2C">
        <w:rPr>
          <w:rFonts w:cs="B Lotus" w:hint="eastAsia"/>
          <w:rtl/>
        </w:rPr>
        <w:t>اب</w:t>
      </w:r>
      <w:r w:rsidRPr="00674E2C">
        <w:rPr>
          <w:rFonts w:cs="B Lotus" w:hint="cs"/>
          <w:rtl/>
        </w:rPr>
        <w:t>ی</w:t>
      </w:r>
      <w:r w:rsidRPr="00674E2C">
        <w:rPr>
          <w:rFonts w:cs="B Lotus"/>
          <w:rtl/>
        </w:rPr>
        <w:t xml:space="preserve"> حوادث بالقوه عمل بر مبنا</w:t>
      </w:r>
      <w:r w:rsidRPr="00674E2C">
        <w:rPr>
          <w:rFonts w:cs="B Lotus" w:hint="cs"/>
          <w:rtl/>
        </w:rPr>
        <w:t>ی</w:t>
      </w:r>
      <w:r w:rsidRPr="00674E2C">
        <w:rPr>
          <w:rFonts w:cs="B Lotus"/>
          <w:rtl/>
        </w:rPr>
        <w:t xml:space="preserve"> «همانطور که م</w:t>
      </w:r>
      <w:r w:rsidRPr="00674E2C">
        <w:rPr>
          <w:rFonts w:cs="B Lotus" w:hint="cs"/>
          <w:rtl/>
        </w:rPr>
        <w:t>ی</w:t>
      </w:r>
      <w:r w:rsidRPr="00674E2C">
        <w:rPr>
          <w:rFonts w:cs="B Lotus"/>
          <w:rtl/>
        </w:rPr>
        <w:t xml:space="preserve"> آ</w:t>
      </w:r>
      <w:r w:rsidRPr="00674E2C">
        <w:rPr>
          <w:rFonts w:cs="B Lotus" w:hint="cs"/>
          <w:rtl/>
        </w:rPr>
        <w:t>ی</w:t>
      </w:r>
      <w:r w:rsidRPr="00674E2C">
        <w:rPr>
          <w:rFonts w:cs="B Lotus" w:hint="eastAsia"/>
          <w:rtl/>
        </w:rPr>
        <w:t>ند»</w:t>
      </w:r>
      <w:r w:rsidRPr="00674E2C">
        <w:rPr>
          <w:rFonts w:cs="B Lotus"/>
          <w:rtl/>
        </w:rPr>
        <w:t xml:space="preserve"> فراهم م</w:t>
      </w:r>
      <w:r w:rsidRPr="00674E2C">
        <w:rPr>
          <w:rFonts w:cs="B Lotus" w:hint="cs"/>
          <w:rtl/>
        </w:rPr>
        <w:t>ی</w:t>
      </w:r>
      <w:r w:rsidRPr="00674E2C">
        <w:rPr>
          <w:rFonts w:cs="B Lotus"/>
          <w:rtl/>
        </w:rPr>
        <w:t xml:space="preserve"> کند و برا</w:t>
      </w:r>
      <w:r w:rsidRPr="00674E2C">
        <w:rPr>
          <w:rFonts w:cs="B Lotus" w:hint="cs"/>
          <w:rtl/>
        </w:rPr>
        <w:t>ی</w:t>
      </w:r>
      <w:r w:rsidRPr="00674E2C">
        <w:rPr>
          <w:rFonts w:cs="B Lotus"/>
          <w:rtl/>
        </w:rPr>
        <w:t xml:space="preserve"> عدم اطم</w:t>
      </w:r>
      <w:r w:rsidRPr="00674E2C">
        <w:rPr>
          <w:rFonts w:cs="B Lotus" w:hint="cs"/>
          <w:rtl/>
        </w:rPr>
        <w:t>ی</w:t>
      </w:r>
      <w:r w:rsidRPr="00674E2C">
        <w:rPr>
          <w:rFonts w:cs="B Lotus" w:hint="eastAsia"/>
          <w:rtl/>
        </w:rPr>
        <w:t>نان</w:t>
      </w:r>
      <w:r w:rsidRPr="00674E2C">
        <w:rPr>
          <w:rFonts w:cs="B Lotus"/>
          <w:rtl/>
        </w:rPr>
        <w:t xml:space="preserve"> مربوط به عملکرد آنها در برخ</w:t>
      </w:r>
      <w:r w:rsidRPr="00674E2C">
        <w:rPr>
          <w:rFonts w:cs="B Lotus" w:hint="cs"/>
          <w:rtl/>
        </w:rPr>
        <w:t>ی</w:t>
      </w:r>
      <w:r w:rsidRPr="00674E2C">
        <w:rPr>
          <w:rFonts w:cs="B Lotus"/>
          <w:rtl/>
        </w:rPr>
        <w:t xml:space="preserve"> از مع</w:t>
      </w:r>
      <w:r w:rsidRPr="00674E2C">
        <w:rPr>
          <w:rFonts w:cs="B Lotus" w:hint="cs"/>
          <w:rtl/>
        </w:rPr>
        <w:t>ی</w:t>
      </w:r>
      <w:r w:rsidRPr="00674E2C">
        <w:rPr>
          <w:rFonts w:cs="B Lotus" w:hint="eastAsia"/>
          <w:rtl/>
        </w:rPr>
        <w:t>ارها</w:t>
      </w:r>
      <w:r w:rsidRPr="00674E2C">
        <w:rPr>
          <w:rFonts w:cs="B Lotus"/>
          <w:rtl/>
        </w:rPr>
        <w:t xml:space="preserve"> حساب م</w:t>
      </w:r>
      <w:r w:rsidRPr="00674E2C">
        <w:rPr>
          <w:rFonts w:cs="B Lotus" w:hint="cs"/>
          <w:rtl/>
        </w:rPr>
        <w:t>ی</w:t>
      </w:r>
      <w:r w:rsidRPr="00674E2C">
        <w:rPr>
          <w:rFonts w:cs="B Lotus"/>
          <w:rtl/>
        </w:rPr>
        <w:t xml:space="preserve"> شود</w:t>
      </w:r>
      <w:r w:rsidRPr="00262069">
        <w:rPr>
          <w:rFonts w:cs="B Lotus"/>
          <w:rtl/>
        </w:rPr>
        <w:fldChar w:fldCharType="begin" w:fldLock="1"/>
      </w:r>
      <w:r>
        <w:rPr>
          <w:rFonts w:cs="B Lotus"/>
        </w:rPr>
        <w:instrText>ADDIN CSL_CITATION { "citationItems" : [ { "id" : "ITEM-1", "itemData" : { "DOI" : "10.3846/tede.2010.39", "ISSN" : "1392-8619", "abstract" : "This paper describes the use of Soft Systems Methodology (SSM) as a tool for problem structuring, which is the first phase encompassed in a methodological approach currently under development to provide decision support based on Multi?Criteria Decision Analysis (MCDA) in energy planning problems in an urban context. In order to apply the methodology to a real?world problem, a medium sized Portuguese city has been chosen as the decision setting. SSM is used for characterizing as precisely as possible the decision problem context, identifying the main stakeholders and their relations, and discerning the relevant criteria at stake for each one. Future work directions based on this phase are also envisaged.", "author" : [ { "dropping-particle" : "", "family" : "Antunes", "given" : "Carlos Henggeler", "non-dropping-particle" : "", "parse-names" : false, "suffix" : "" }, { "dropping-particle" : "", "family" : "Coelho", "given" : "Dulce", "non-dropping-particle" : "", "parse-names" : false, "suffix" : "" }, { "dropping-particle" : "", "family" : "Martins", "given" : "Antonio Gomes", "non-dropping-particle" : "", "parse-names" : false, "suffix" : "" } ], "container-title" : "Technological and Economic Development of Economy", "id" : "ITEM-1", "issue" : "4", "issued" : { "date-parts" : [ [ "2010" ] ] }, "page" : "641", "title" : "Using SSM for structuring decision support in urban energy planning", "type" : "article-journal", "volume" : "16" }, "uris" : [ "http://www.mendeley.com/documents/?uuid=1fc2703e-ee95-4c02-a010-e3093ff6f17a" ] } ], "mendeley" : { "formattedCitation" : "(Antunes, Coelho, &amp; Martins, 2010)", "plainTextFormattedCitation" : "(Antunes, Coelho, &amp; Martins, 2010)", "previouslyFormattedCitation" : "(Antunes, Coelho, &amp; Martins, 2010)" }, "properties" : {  }, "schema" : "https://github.com/citation-style-language/schema/raw/master/csl-citation.json" }</w:instrText>
      </w:r>
      <w:r w:rsidRPr="00262069">
        <w:rPr>
          <w:rFonts w:cs="B Lotus"/>
          <w:rtl/>
        </w:rPr>
        <w:fldChar w:fldCharType="separate"/>
      </w:r>
      <w:r w:rsidRPr="00BB5C08">
        <w:rPr>
          <w:rFonts w:cs="B Lotus"/>
          <w:noProof/>
        </w:rPr>
        <w:t>(Antunes, Coelho, &amp; Martins, 2010)</w:t>
      </w:r>
      <w:r w:rsidRPr="00262069">
        <w:rPr>
          <w:rFonts w:cs="B Lotus"/>
          <w:rtl/>
        </w:rPr>
        <w:fldChar w:fldCharType="end"/>
      </w:r>
    </w:p>
    <w:p w14:paraId="03834AC0" w14:textId="77777777" w:rsidR="00AB6491" w:rsidRDefault="00AB6491" w:rsidP="002F0D7F">
      <w:pPr>
        <w:bidi/>
        <w:rPr>
          <w:rFonts w:cs="B Lotus"/>
          <w:rtl/>
        </w:rPr>
      </w:pPr>
      <w:r>
        <w:rPr>
          <w:rFonts w:cs="B Lotus" w:hint="cs"/>
          <w:rtl/>
        </w:rPr>
        <w:t xml:space="preserve">آلارکون-رودریگز و همکارانش </w:t>
      </w:r>
      <w:r w:rsidRPr="00262069">
        <w:rPr>
          <w:rFonts w:cs="B Lotus"/>
          <w:rtl/>
        </w:rPr>
        <w:t xml:space="preserve">یک بررسی به موقع در مورد طرح ریزی دقیق پیشرفته </w:t>
      </w:r>
      <w:r>
        <w:rPr>
          <w:rFonts w:cs="B Lotus" w:hint="cs"/>
          <w:rtl/>
        </w:rPr>
        <w:t>منابع گسترده انرژی</w:t>
      </w:r>
      <w:r>
        <w:rPr>
          <w:rStyle w:val="FootnoteReference"/>
          <w:rtl/>
        </w:rPr>
        <w:footnoteReference w:id="3"/>
      </w:r>
      <w:r w:rsidRPr="00262069">
        <w:rPr>
          <w:rFonts w:cs="B Lotus"/>
          <w:rtl/>
        </w:rPr>
        <w:t xml:space="preserve"> هدفمند و جزئیات چالش ها، روند ها و آخرین تحولات در این زمینه را </w:t>
      </w:r>
      <w:r>
        <w:rPr>
          <w:rFonts w:cs="B Lotus" w:hint="cs"/>
          <w:rtl/>
          <w:lang w:bidi="fa-IR"/>
        </w:rPr>
        <w:t>انجام داده</w:t>
      </w:r>
      <w:r>
        <w:rPr>
          <w:rFonts w:cs="B Lotus"/>
          <w:rtl/>
          <w:lang w:bidi="fa-IR"/>
        </w:rPr>
        <w:softHyphen/>
      </w:r>
      <w:r>
        <w:rPr>
          <w:rFonts w:cs="B Lotus" w:hint="cs"/>
          <w:rtl/>
          <w:lang w:bidi="fa-IR"/>
        </w:rPr>
        <w:t>اند</w:t>
      </w:r>
      <w:r w:rsidRPr="00262069">
        <w:rPr>
          <w:rFonts w:cs="B Lotus"/>
          <w:rtl/>
        </w:rPr>
        <w:t xml:space="preserve">. در آینده ای که سهم بیشتری از انرژی از منابع توزیع شده تامین می شود و در جایی که بالقوه تعداد بیشتری از ذینفعان درگیر شود، ابزارهای </w:t>
      </w:r>
      <w:r>
        <w:rPr>
          <w:rFonts w:cs="B Lotus" w:hint="cs"/>
          <w:rtl/>
        </w:rPr>
        <w:t>طرح</w:t>
      </w:r>
      <w:r>
        <w:rPr>
          <w:rFonts w:cs="B Lotus"/>
          <w:rtl/>
        </w:rPr>
        <w:softHyphen/>
      </w:r>
      <w:r w:rsidRPr="00262069">
        <w:rPr>
          <w:rFonts w:cs="B Lotus"/>
          <w:rtl/>
        </w:rPr>
        <w:t xml:space="preserve">ریزی چند هدفه برای ارائه راه حل های </w:t>
      </w:r>
      <w:r>
        <w:rPr>
          <w:rFonts w:cs="B Lotus" w:hint="cs"/>
          <w:rtl/>
        </w:rPr>
        <w:t xml:space="preserve">با </w:t>
      </w:r>
      <w:r w:rsidRPr="00262069">
        <w:rPr>
          <w:rFonts w:cs="B Lotus"/>
          <w:rtl/>
        </w:rPr>
        <w:t xml:space="preserve">سازش لازم و هدایت </w:t>
      </w:r>
      <w:r>
        <w:rPr>
          <w:rFonts w:cs="B Lotus"/>
          <w:rtl/>
        </w:rPr>
        <w:t>بهینه سازی سیستم مورد نیاز است</w:t>
      </w:r>
      <w:r w:rsidRPr="00262069">
        <w:rPr>
          <w:rFonts w:cs="B Lotus"/>
          <w:rtl/>
        </w:rPr>
        <w:fldChar w:fldCharType="begin" w:fldLock="1"/>
      </w:r>
      <w:r>
        <w:rPr>
          <w:rFonts w:cs="B Lotus"/>
        </w:rPr>
        <w:instrText>ADDIN CSL_CITATION { "citationItems" : [ { "id" : "ITEM-1", "itemData" : { "DOI" : "10.1016/j.rser.2010.01.006", "ISBN" : "1364-0321", "ISSN" : "13640321", "abstract" : "The use of Distributed Energy Resources (DER) has been proposed as one of the possible solutions to today's energy and environmental challenges. The optimal integration of DER in distribution networks is essential to guarantee the best of resource, i.e. maximize their benefits, such as reduction of carbon emissions, reduction of network energy losses and to minimize the negative impacts, which can affect the network quality, cause network sterilization and increase investment and operation costs. Hence, DER planning is a multi-objective problem in which many objectives of interest, sometimes conflicting, need to be optimized simultaneously, and where a compromise for different perspectives (DER developer, Distribution System Operator, regulator) needs to be found. Appropriate multi-objective planning methods that consider technical, environmental and economic impacts of DER integration, and that are able to support a suitable model of stochastic DER and active networks, can provide a deep insight into the case specific and general advantages and drawbacks of DER. Consequently, the interest in multi-objective DER planning has increased in recent years, and a number of novel methods have been proposed in this area. This paper provides a timely review of the state-of-the-art in multi-objective DER planning, and discusses in detail the challenges, trends and latest developments in this field. \u00a9 2010 Elsevier Ltd. All rights reserved.", "author" : [ { "dropping-particle" : "", "family" : "Alarcon-Rodriguez", "given" : "Arturo", "non-dropping-particle" : "", "parse-names" : false, "suffix" : "" }, { "dropping-particle" : "", "family" : "Ault", "given" : "Graham", "non-dropping-particle" : "", "parse-names" : false, "suffix" : "" }, { "dropping-particle" : "", "family" : "Galloway", "given" : "Stuart", "non-dropping-particle" : "", "parse-names" : false, "suffix" : "" } ], "container-title" : "Renewable and Sustainable Energy Reviews", "id" : "ITEM-1", "issue" : "5", "issued" : { "date-parts" : [ [ "2010" ] ] }, "page" : "1353-1366", "publisher" : "Elsevier Ltd", "title" : "Multi-objective planning of distributed energy resources: A review of the state-of-the-art", "type" : "article-journal", "volume" : "14" }, "uris" : [ "http://www.mendeley.com/documents/?uuid=c74814e6-b1b1-48ed-a5e5-ebb35744bd0e" ] } ], "mendeley" : { "formattedCitation" : "(Alarcon-Rodriguez, Ault, &amp; Galloway, 2010)", "plainTextFormattedCitation" : "(Alarcon-Rodriguez, Ault, &amp; Galloway, 2010)", "previouslyFormattedCitation" : "(Alarcon-Rodriguez, Ault, &amp; Galloway, 2010)" }, "properties" : {  }, "schema" : "https://github.com/citation-style-language/schema/raw/master/csl-citation.json" }</w:instrText>
      </w:r>
      <w:r w:rsidRPr="00262069">
        <w:rPr>
          <w:rFonts w:cs="B Lotus"/>
          <w:rtl/>
        </w:rPr>
        <w:fldChar w:fldCharType="separate"/>
      </w:r>
      <w:r w:rsidRPr="00BB5C08">
        <w:rPr>
          <w:rFonts w:cs="B Lotus"/>
          <w:noProof/>
        </w:rPr>
        <w:t>(Alarcon-Rodriguez, Ault, &amp; Galloway, 2010)</w:t>
      </w:r>
      <w:r w:rsidRPr="00262069">
        <w:rPr>
          <w:rFonts w:cs="B Lotus"/>
          <w:rtl/>
        </w:rPr>
        <w:fldChar w:fldCharType="end"/>
      </w:r>
      <w:r w:rsidRPr="00262069">
        <w:rPr>
          <w:rFonts w:cs="B Lotus"/>
          <w:rtl/>
        </w:rPr>
        <w:t>.</w:t>
      </w:r>
      <w:r>
        <w:rPr>
          <w:rFonts w:cs="B Lotus" w:hint="cs"/>
          <w:rtl/>
        </w:rPr>
        <w:t xml:space="preserve"> </w:t>
      </w:r>
    </w:p>
    <w:p w14:paraId="5ED75F45" w14:textId="77777777" w:rsidR="00AB6491" w:rsidRDefault="00AB6491" w:rsidP="002F0D7F">
      <w:pPr>
        <w:bidi/>
        <w:rPr>
          <w:rFonts w:cs="B Lotus"/>
          <w:rtl/>
        </w:rPr>
      </w:pPr>
      <w:r>
        <w:rPr>
          <w:rFonts w:cs="B Lotus"/>
          <w:rtl/>
        </w:rPr>
        <w:t>هدف</w:t>
      </w:r>
      <w:r w:rsidRPr="00262069">
        <w:rPr>
          <w:rFonts w:cs="B Lotus"/>
          <w:rtl/>
        </w:rPr>
        <w:t xml:space="preserve"> مطالعه</w:t>
      </w:r>
      <w:r>
        <w:rPr>
          <w:rFonts w:cs="B Lotus" w:hint="cs"/>
          <w:rtl/>
        </w:rPr>
        <w:t xml:space="preserve"> کایا و کاهرمان</w:t>
      </w:r>
      <w:r w:rsidRPr="00262069">
        <w:rPr>
          <w:rFonts w:cs="B Lotus"/>
          <w:rtl/>
        </w:rPr>
        <w:t xml:space="preserve"> دوگانه است: اول، هدف آن است که از یک روش یکپارچه </w:t>
      </w:r>
      <w:r w:rsidRPr="00262069">
        <w:rPr>
          <w:rFonts w:cs="B Lotus"/>
        </w:rPr>
        <w:t>VIKOR-AHP</w:t>
      </w:r>
      <w:r w:rsidRPr="00262069">
        <w:rPr>
          <w:rFonts w:cs="B Lotus"/>
          <w:rtl/>
        </w:rPr>
        <w:t xml:space="preserve">، </w:t>
      </w:r>
      <w:r>
        <w:rPr>
          <w:rFonts w:cs="B Lotus" w:hint="cs"/>
          <w:rtl/>
        </w:rPr>
        <w:t xml:space="preserve">برای </w:t>
      </w:r>
      <w:r w:rsidRPr="00262069">
        <w:rPr>
          <w:rFonts w:cs="B Lotus"/>
          <w:rtl/>
        </w:rPr>
        <w:t>تعیین بهترین منبع انرژی تجدید پذیر برای است</w:t>
      </w:r>
      <w:r>
        <w:rPr>
          <w:rFonts w:cs="B Lotus"/>
          <w:rtl/>
        </w:rPr>
        <w:t>انبول استفاده شود. دوم، انتخاب</w:t>
      </w:r>
      <w:r w:rsidRPr="00262069">
        <w:rPr>
          <w:rFonts w:cs="B Lotus"/>
          <w:rtl/>
        </w:rPr>
        <w:t xml:space="preserve"> میان سایت های تولید انرژی جایگزین در این شهر با ا</w:t>
      </w:r>
      <w:r>
        <w:rPr>
          <w:rFonts w:cs="B Lotus"/>
          <w:rtl/>
        </w:rPr>
        <w:t>ستفاده از همین روش صورت می گیرد</w:t>
      </w:r>
      <w:r>
        <w:rPr>
          <w:rFonts w:cs="B Lotus" w:hint="cs"/>
          <w:rtl/>
        </w:rPr>
        <w:t>.</w:t>
      </w:r>
      <w:r w:rsidRPr="00262069">
        <w:rPr>
          <w:rFonts w:cs="B Lotus"/>
          <w:rtl/>
        </w:rPr>
        <w:t xml:space="preserve"> </w:t>
      </w:r>
      <w:r>
        <w:rPr>
          <w:rFonts w:cs="B Lotus" w:hint="cs"/>
          <w:rtl/>
        </w:rPr>
        <w:t>نوآوری</w:t>
      </w:r>
      <w:r>
        <w:rPr>
          <w:rFonts w:cs="B Lotus"/>
          <w:rtl/>
        </w:rPr>
        <w:t xml:space="preserve"> این مقاله</w:t>
      </w:r>
      <w:r w:rsidRPr="00262069">
        <w:rPr>
          <w:rFonts w:cs="B Lotus"/>
          <w:rtl/>
        </w:rPr>
        <w:t xml:space="preserve"> کاربرد روش پیشنهادی یکپارچه </w:t>
      </w:r>
      <w:r w:rsidRPr="00262069">
        <w:rPr>
          <w:rFonts w:cs="B Lotus"/>
        </w:rPr>
        <w:t>VIKOR-AHP</w:t>
      </w:r>
      <w:r w:rsidRPr="00262069">
        <w:rPr>
          <w:rFonts w:cs="B Lotus"/>
          <w:rtl/>
        </w:rPr>
        <w:t xml:space="preserve"> </w:t>
      </w:r>
      <w:r>
        <w:rPr>
          <w:rFonts w:cs="B Lotus" w:hint="cs"/>
          <w:rtl/>
        </w:rPr>
        <w:t>برای</w:t>
      </w:r>
      <w:r w:rsidRPr="00262069">
        <w:rPr>
          <w:rFonts w:cs="B Lotus"/>
          <w:rtl/>
        </w:rPr>
        <w:t xml:space="preserve"> انتخاب بهترین سیاست انرژی و سایت تولید می باشد. انرژی باد مناسب ترین گزینه انرژی تجدید پذیر است و منطقه چاتالکه بهترین منطقه در میان گزینه های برای ساخت توربین های بادی در استانبول است. رتبه بندی جایگزین های دیگر به ترتیب نزولی انرژی خورشیدی، زیست توده، زمین گ</w:t>
      </w:r>
      <w:r>
        <w:rPr>
          <w:rFonts w:cs="B Lotus"/>
          <w:rtl/>
        </w:rPr>
        <w:t>رمایی و هیدرولیکی تعیین می شود</w:t>
      </w:r>
      <w:r w:rsidRPr="00262069">
        <w:rPr>
          <w:rFonts w:cs="B Lotus"/>
          <w:rtl/>
        </w:rPr>
        <w:fldChar w:fldCharType="begin" w:fldLock="1"/>
      </w:r>
      <w:r>
        <w:rPr>
          <w:rFonts w:cs="B Lotus"/>
        </w:rPr>
        <w:instrText>ADDIN CSL_CITATION { "citationItems" : [ { "id" : "ITEM-1", "itemData" : { "DOI" : "10.1016/j.energy.2010.02.051", "ISBN" : "0360-5442", "ISSN" : "03605442", "abstract" : "The purpose of this study is twofold: first, it is aimed at determining the best renewable energy alternative for Istanbul by using an integrated VIKOR-AHP methodology. Second, a selection among alternative energy production sites in this city is made using the same approach. In the proposed VIKOR-AHP methodology, the weights of the selection criteria are determined by pairwise comparison matrices of AHP. In energy decision making problems, the judgments of decision makers are usually vague. As it is relatively difficult for decision makers to provide exact values for the criteria, the evaluation data for the alternative energy policies should be expressed in linguistic terms. In order to model this kind of uncertainty in human preferences, fuzzy logic is applied very successfully. Thus, both classical VIKOR and classical AHP procedures are performed under fuzzy environment. The originality of the paper comes from the application of the proposed integrated VIKOR-AHP methodology to the selection of the best energy policy and production site. It is found that wind energy is the most appropriate renewable energy option and \u00c7atalca district is the best area among the alternatives for establishing wind turbines in Istanbul. \u00a9 2010 Elsevier Ltd. All rights reserved.", "author" : [ { "dropping-particle" : "", "family" : "Kaya", "given" : "Tolga", "non-dropping-particle" : "", "parse-names" : false, "suffix" : "" }, { "dropping-particle" : "", "family" : "Kahraman", "given" : "Cengiz", "non-dropping-particle" : "", "parse-names" : false, "suffix" : "" } ], "container-title" : "Energy", "id" : "ITEM-1", "issue" : "6", "issued" : { "date-parts" : [ [ "2010" ] ] }, "page" : "2517-2527", "publisher" : "Elsevier", "title" : "Multicriteria renewable energy planning using an integrated fuzzy VIKOR &amp; AHP methodology: The case of Istanbul", "type" : "article-journal", "volume" : "35" }, "uris" : [ "http://www.mendeley.com/documents/?uuid=0a0e0870-4b6b-4702-9ac1-6353c270a7d4" ] } ], "mendeley" : { "formattedCitation" : "(Kaya &amp; Kahraman, 2010)", "plainTextFormattedCitation" : "(Kaya &amp; Kahraman, 2010)", "previouslyFormattedCitation" : "(Kaya &amp; Kahraman, 2010)" }, "properties" : {  }, "schema" : "https://github.com/citation-style-language/schema/raw/master/csl-citation.json" }</w:instrText>
      </w:r>
      <w:r w:rsidRPr="00262069">
        <w:rPr>
          <w:rFonts w:cs="B Lotus"/>
          <w:rtl/>
        </w:rPr>
        <w:fldChar w:fldCharType="separate"/>
      </w:r>
      <w:r w:rsidRPr="00BB5C08">
        <w:rPr>
          <w:rFonts w:cs="B Lotus"/>
          <w:noProof/>
        </w:rPr>
        <w:t>(Kaya &amp; Kahraman, 2010)</w:t>
      </w:r>
      <w:r w:rsidRPr="00262069">
        <w:rPr>
          <w:rFonts w:cs="B Lotus"/>
          <w:rtl/>
        </w:rPr>
        <w:fldChar w:fldCharType="end"/>
      </w:r>
      <w:r w:rsidRPr="00262069">
        <w:rPr>
          <w:rFonts w:cs="B Lotus"/>
          <w:rtl/>
        </w:rPr>
        <w:t>.</w:t>
      </w:r>
    </w:p>
    <w:p w14:paraId="076ECAC3" w14:textId="77777777" w:rsidR="00DE7831" w:rsidRDefault="00DE7831" w:rsidP="002F0D7F">
      <w:pPr>
        <w:bidi/>
        <w:rPr>
          <w:rFonts w:cs="B Lotus"/>
        </w:rPr>
      </w:pPr>
      <w:r w:rsidRPr="00262069">
        <w:rPr>
          <w:rFonts w:cs="B Lotus"/>
          <w:rtl/>
        </w:rPr>
        <w:t>متدولوژي</w:t>
      </w:r>
      <w:r>
        <w:rPr>
          <w:rFonts w:cs="B Lotus" w:hint="cs"/>
          <w:rtl/>
        </w:rPr>
        <w:t xml:space="preserve"> کاهرمان و کایا</w:t>
      </w:r>
      <w:r w:rsidRPr="00262069">
        <w:rPr>
          <w:rFonts w:cs="B Lotus"/>
          <w:rtl/>
        </w:rPr>
        <w:t xml:space="preserve"> بر اساس فرآيند تحليل سلسله مراتبي (</w:t>
      </w:r>
      <w:r w:rsidRPr="00262069">
        <w:rPr>
          <w:rFonts w:cs="B Lotus"/>
        </w:rPr>
        <w:t>AHP</w:t>
      </w:r>
      <w:r>
        <w:rPr>
          <w:rFonts w:cs="B Lotus"/>
          <w:rtl/>
        </w:rPr>
        <w:t xml:space="preserve">) </w:t>
      </w:r>
      <w:r w:rsidRPr="00262069">
        <w:rPr>
          <w:rFonts w:cs="B Lotus"/>
          <w:rtl/>
        </w:rPr>
        <w:t>فازي</w:t>
      </w:r>
      <w:r>
        <w:rPr>
          <w:rFonts w:cs="B Lotus" w:hint="cs"/>
          <w:rtl/>
        </w:rPr>
        <w:t xml:space="preserve"> بوده</w:t>
      </w:r>
      <w:r>
        <w:rPr>
          <w:rFonts w:cs="B Lotus"/>
          <w:rtl/>
        </w:rPr>
        <w:softHyphen/>
      </w:r>
      <w:r w:rsidRPr="00262069">
        <w:rPr>
          <w:rFonts w:cs="B Lotus"/>
          <w:rtl/>
        </w:rPr>
        <w:t>است</w:t>
      </w:r>
      <w:r>
        <w:rPr>
          <w:rFonts w:cs="B Lotus" w:hint="cs"/>
          <w:rtl/>
        </w:rPr>
        <w:t>.</w:t>
      </w:r>
      <w:r w:rsidRPr="00262069">
        <w:rPr>
          <w:rFonts w:cs="B Lotus"/>
          <w:rtl/>
        </w:rPr>
        <w:t xml:space="preserve"> </w:t>
      </w:r>
      <w:r>
        <w:rPr>
          <w:rFonts w:cs="B Lotus" w:hint="cs"/>
          <w:rtl/>
        </w:rPr>
        <w:t>با</w:t>
      </w:r>
      <w:r w:rsidRPr="00262069">
        <w:rPr>
          <w:rFonts w:cs="B Lotus"/>
          <w:rtl/>
        </w:rPr>
        <w:t xml:space="preserve"> استفاده از روش پیشنهادی، بهترین سیاست انرژی برای ترکیه تعیین </w:t>
      </w:r>
      <w:r>
        <w:rPr>
          <w:rFonts w:cs="B Lotus" w:hint="cs"/>
          <w:rtl/>
        </w:rPr>
        <w:t>شده</w:t>
      </w:r>
      <w:r>
        <w:rPr>
          <w:rFonts w:cs="B Lotus"/>
          <w:rtl/>
        </w:rPr>
        <w:softHyphen/>
      </w:r>
      <w:r>
        <w:rPr>
          <w:rFonts w:cs="B Lotus" w:hint="cs"/>
          <w:rtl/>
        </w:rPr>
        <w:t xml:space="preserve">است. </w:t>
      </w:r>
      <w:r w:rsidRPr="00262069">
        <w:rPr>
          <w:rFonts w:cs="B Lotus"/>
          <w:rtl/>
        </w:rPr>
        <w:t xml:space="preserve">انرژی باد به عنوان </w:t>
      </w:r>
      <w:r>
        <w:rPr>
          <w:rFonts w:cs="B Lotus" w:hint="cs"/>
          <w:rtl/>
        </w:rPr>
        <w:t>مناسبترین</w:t>
      </w:r>
      <w:r w:rsidRPr="00262069">
        <w:rPr>
          <w:rFonts w:cs="B Lotus"/>
          <w:rtl/>
        </w:rPr>
        <w:t xml:space="preserve"> منبع انرژی برای استفاده در ترکیه تعیین </w:t>
      </w:r>
      <w:r>
        <w:rPr>
          <w:rFonts w:cs="B Lotus" w:hint="cs"/>
          <w:rtl/>
        </w:rPr>
        <w:t>شده</w:t>
      </w:r>
      <w:r>
        <w:rPr>
          <w:rFonts w:cs="B Lotus"/>
          <w:rtl/>
        </w:rPr>
        <w:softHyphen/>
      </w:r>
      <w:r>
        <w:rPr>
          <w:rFonts w:cs="B Lotus" w:hint="cs"/>
          <w:rtl/>
        </w:rPr>
        <w:t>است</w:t>
      </w:r>
      <w:r w:rsidRPr="00262069">
        <w:rPr>
          <w:rFonts w:cs="B Lotus"/>
          <w:rtl/>
        </w:rPr>
        <w:t xml:space="preserve">. انرژی خورشیدی و زیست توده نیز به ترتیب دوم و سوم </w:t>
      </w:r>
      <w:r>
        <w:rPr>
          <w:rFonts w:cs="B Lotus" w:hint="cs"/>
          <w:rtl/>
        </w:rPr>
        <w:t>هستند</w:t>
      </w:r>
      <w:r w:rsidRPr="00262069">
        <w:rPr>
          <w:rFonts w:cs="B Lotus"/>
          <w:rtl/>
        </w:rPr>
        <w:fldChar w:fldCharType="begin" w:fldLock="1"/>
      </w:r>
      <w:r>
        <w:rPr>
          <w:rFonts w:cs="B Lotus"/>
        </w:rPr>
        <w:instrText>ADDIN CSL_CITATION { "citationItems" : [ { "id" : "ITEM-1", "itemData" : { "DOI" : "10.1016/j.eswa.2010.02.095", "ISBN" : "0957-4174", "ISSN" : "09574174", "abstract" : "Since the correct energy policy affects economic development and environment, the most appropriate energy policy selection is excessively important. Recently some studies have concentrated on selecting the best energy policy and determining the best energy alternatives. In most of these studies, multicriteria and fuzzy approaches to energy policy making are frequently used. The fuzzy set theory is a powerful tool to treat the uncertainty in case of incomplete or vague information. In this paper, a fuzzy multicriteria decision-making methodology is suggested for the selection among energy policies. The methodology is based on the analytic hierarchy process (AHP) under fuzziness. It allows the evaluation scores from experts to be linguistic expressions, crisp or fuzzy numbers. In the application of the proposed methodology, the best energy policy is determined for Turkey. ?? 2010 Elsevier Ltd.", "author" : [ { "dropping-particle" : "", "family" : "Kahraman", "given" : "Cengiz", "non-dropping-particle" : "", "parse-names" : false, "suffix" : "" }, { "dropping-particle" : "", "family" : "Kaya", "given" : "Ihsan", "non-dropping-particle" : "", "parse-names" : false, "suffix" : "" } ], "container-title" : "Expert Systems with Applications", "id" : "ITEM-1", "issue" : "9", "issued" : { "date-parts" : [ [ "2010" ] ] }, "page" : "6270-6281", "title" : "A fuzzy multicriteria methodology for selection among energy alternatives", "type" : "article-journal", "volume" : "37" }, "uris" : [ "http://www.mendeley.com/documents/?uuid=5dbfa79d-fa12-42b7-8565-e9c8bc2a1331" ] } ], "mendeley" : { "formattedCitation" : "(Kahraman &amp; Kaya, 2010)", "plainTextFormattedCitation" : "(Kahraman &amp; Kaya, 2010)", "previouslyFormattedCitation" : "(Kahraman &amp; Kaya, 2010)" }, "properties" : {  }, "schema" : "https://github.com/citation-style-language/schema/raw/master/csl-citation.json" }</w:instrText>
      </w:r>
      <w:r w:rsidRPr="00262069">
        <w:rPr>
          <w:rFonts w:cs="B Lotus"/>
          <w:rtl/>
        </w:rPr>
        <w:fldChar w:fldCharType="separate"/>
      </w:r>
      <w:r w:rsidRPr="00BB5C08">
        <w:rPr>
          <w:rFonts w:cs="B Lotus"/>
          <w:noProof/>
        </w:rPr>
        <w:t>(Kahraman &amp; Kaya, 2010)</w:t>
      </w:r>
      <w:r w:rsidRPr="00262069">
        <w:rPr>
          <w:rFonts w:cs="B Lotus"/>
          <w:rtl/>
        </w:rPr>
        <w:fldChar w:fldCharType="end"/>
      </w:r>
      <w:r w:rsidRPr="00262069">
        <w:rPr>
          <w:rFonts w:cs="B Lotus"/>
          <w:rtl/>
        </w:rPr>
        <w:t>.</w:t>
      </w:r>
    </w:p>
    <w:p w14:paraId="40655582" w14:textId="77777777" w:rsidR="00DE7831" w:rsidRDefault="00DE7831" w:rsidP="002F0D7F">
      <w:pPr>
        <w:bidi/>
        <w:rPr>
          <w:rFonts w:cs="B Lotus"/>
          <w:rtl/>
        </w:rPr>
      </w:pPr>
      <w:r>
        <w:rPr>
          <w:rFonts w:cs="B Lotus" w:hint="cs"/>
          <w:rtl/>
          <w:lang w:bidi="fa-IR"/>
        </w:rPr>
        <w:t xml:space="preserve">موروموریس و پوتولیاس </w:t>
      </w:r>
      <w:r w:rsidRPr="00262069">
        <w:rPr>
          <w:rFonts w:cs="B Lotus" w:hint="cs"/>
          <w:rtl/>
        </w:rPr>
        <w:t xml:space="preserve">در این مقاله </w:t>
      </w:r>
      <w:r>
        <w:rPr>
          <w:rFonts w:cs="B Lotus" w:hint="cs"/>
          <w:rtl/>
        </w:rPr>
        <w:t>تاسوس (</w:t>
      </w:r>
      <w:r w:rsidRPr="00262069">
        <w:rPr>
          <w:rFonts w:cs="B Lotus"/>
        </w:rPr>
        <w:t>Thassos</w:t>
      </w:r>
      <w:r>
        <w:rPr>
          <w:rFonts w:cs="B Lotus" w:hint="cs"/>
          <w:rtl/>
        </w:rPr>
        <w:t>)</w:t>
      </w:r>
      <w:r w:rsidRPr="00262069">
        <w:rPr>
          <w:rFonts w:cs="B Lotus" w:hint="cs"/>
          <w:rtl/>
        </w:rPr>
        <w:t xml:space="preserve">، یونان مورد تجزیه و تحلیل قرار گرفته است. نتایج نشان می دهد که بهره برداری از منابع انرژی تجدیدپذیر در سطح منطقه ای می تواند نیازهای برق را از طریق سیستم های انرژی سازگار با محیط زیست که از انرژی باد، سیستم های زیست توده و سیستم های انرژی الکتریکی ترکیب می کند، برآورده سازد. به این ترتیب، تحولات نظارتی انرژی در یونان، نفوذ </w:t>
      </w:r>
      <w:r w:rsidRPr="00262069">
        <w:rPr>
          <w:rFonts w:cs="B Lotus"/>
        </w:rPr>
        <w:t>RES</w:t>
      </w:r>
      <w:r w:rsidRPr="00262069">
        <w:rPr>
          <w:rFonts w:cs="B Lotus" w:hint="cs"/>
          <w:rtl/>
        </w:rPr>
        <w:t xml:space="preserve"> در کل کشور را ترجیح داده است</w:t>
      </w:r>
      <w:r w:rsidRPr="00262069">
        <w:rPr>
          <w:rFonts w:cs="B Lotus"/>
          <w:rtl/>
        </w:rPr>
        <w:fldChar w:fldCharType="begin" w:fldLock="1"/>
      </w:r>
      <w:r>
        <w:rPr>
          <w:rFonts w:cs="B Lotus"/>
        </w:rPr>
        <w:instrText>ADDIN CSL_CITATION { "citationItems" : [ { "id" : "ITEM-1", "itemData" : { "DOI" : "10.1016/j.enpol.2012.09.074", "ISBN" : "0301-4215", "ISSN" : "03014215", "abstract" : "Rational energy planning under the pressure of environmental and economic problems is imperative to humanity. An evaluational framework is proposed in order to support energy planning for promoting the use of renewable energy sources. A multi-criteria decision analysis is adopted, detailing exploitation of renewable energy sources (including Wind, Solar, Biomass, Geothermal, and small Hydro) for power and heat generation. The aim of this paper is the analysis and development of a multilevel decision-making structure, utilizing multiple criteria for energy planning and exploitation of Renewable Energy Sources of at the regional level. The proposed evaluation framework focuses on the use of a multi-criteria approach as a tool for supporting energy planning in the area of concern, based on a pool of qualitative and quantitative evaluation criteria. The final aim of this study is to discover the optimal amount of each Renewable Energy Source that can be produced in the region and to contribute to an optimal energy mix. In this paper, a case study for the island of Thassos, Greece is analyzed. The results prove that Renewable Energy Sources exploitation at a regional level can satisfy increasing power demands through environmental-friendly energy systems that combine wind power, biomass and PV systems. ?? 2012 Elsevier Ltd.", "author" : [ { "dropping-particle" : "", "family" : "Mourmouris", "given" : "J. C.", "non-dropping-particle" : "", "parse-names" : false, "suffix" : "" }, { "dropping-particle" : "", "family" : "Potolias", "given" : "C.", "non-dropping-particle" : "", "parse-names" : false, "suffix" : "" } ], "container-title" : "Energy Policy", "id" : "ITEM-1", "issued" : { "date-parts" : [ [ "2013" ] ] }, "page" : "522-530", "publisher" : "Elsevier", "title" : "A multi-criteria methodology for energy planning and developing renewable energy sources at a regional level: A case study Thassos, Greece", "type" : "article-journal", "volume" : "52" }, "uris" : [ "http://www.mendeley.com/documents/?uuid=071457b4-b8b2-4ee3-a6dd-5f1381bab6b7" ] } ], "mendeley" : { "formattedCitation" : "(Mourmouris &amp; Potolias, 2013)", "plainTextFormattedCitation" : "(Mourmouris &amp; Potolias, 2013)", "previouslyFormattedCitation" : "(Mourmouris &amp; Potolias, 2013)" }, "properties" : {  }, "schema" : "https://github.com/citation-style-language/schema/raw/master/csl-citation.json" }</w:instrText>
      </w:r>
      <w:r w:rsidRPr="00262069">
        <w:rPr>
          <w:rFonts w:cs="B Lotus"/>
          <w:rtl/>
        </w:rPr>
        <w:fldChar w:fldCharType="separate"/>
      </w:r>
      <w:r w:rsidRPr="00BB5C08">
        <w:rPr>
          <w:rFonts w:cs="B Lotus"/>
          <w:noProof/>
        </w:rPr>
        <w:t>(Mourmouris &amp; Potolias, 2013)</w:t>
      </w:r>
      <w:r w:rsidRPr="00262069">
        <w:rPr>
          <w:rFonts w:cs="B Lotus"/>
          <w:rtl/>
        </w:rPr>
        <w:fldChar w:fldCharType="end"/>
      </w:r>
      <w:r w:rsidRPr="00262069">
        <w:rPr>
          <w:rFonts w:cs="B Lotus"/>
          <w:rtl/>
        </w:rPr>
        <w:t>.</w:t>
      </w:r>
      <w:r>
        <w:rPr>
          <w:rFonts w:cs="B Lotus" w:hint="cs"/>
          <w:rtl/>
        </w:rPr>
        <w:t xml:space="preserve"> </w:t>
      </w:r>
    </w:p>
    <w:p w14:paraId="0A8E3EB0" w14:textId="77777777" w:rsidR="000D2B5B" w:rsidRDefault="000D2B5B" w:rsidP="002F0D7F">
      <w:pPr>
        <w:bidi/>
        <w:rPr>
          <w:lang w:bidi="fa-IR"/>
        </w:rPr>
      </w:pPr>
      <w:r>
        <w:rPr>
          <w:rtl/>
        </w:rPr>
        <w:t xml:space="preserve">هدف اصلی این مقاله بررسی سیستماتیک تکنیک ها و رویکردهای </w:t>
      </w:r>
      <w:r>
        <w:t>MCDM</w:t>
      </w:r>
      <w:r>
        <w:rPr>
          <w:rtl/>
        </w:rPr>
        <w:t xml:space="preserve"> در برنامه ریزی های انرژی پایدار و تجدید پذیر است. بررسی بیش از 100 مقاله منتشر شده مبتنی بر تحلیل </w:t>
      </w:r>
      <w:r>
        <w:t>MCDM</w:t>
      </w:r>
      <w:r>
        <w:rPr>
          <w:rtl/>
        </w:rPr>
        <w:t xml:space="preserve"> در این مقاله مورد بررسی قرار گرفته است. یافته های این مقاله بررسی می کند که تکنیک های </w:t>
      </w:r>
      <w:r>
        <w:t>MCDM</w:t>
      </w:r>
      <w:r>
        <w:rPr>
          <w:rtl/>
        </w:rPr>
        <w:t xml:space="preserve"> می تواند به سهامداران و تصمیم گیرندگان کمک کند تا برخی از عدم قطعیت های تصمیم گیری در زمینه انرژی تجدید پذیر را شناسایی کنند. طبقه بندی روش شناسی مورد استفاده، انتخاب معیارها و مناطق کاربردی خلاصه و ارائه شده است.</w:t>
      </w:r>
      <w:r w:rsidRPr="000D2B5B">
        <w:rPr>
          <w:rtl/>
        </w:rPr>
        <w:t xml:space="preserve"> </w:t>
      </w:r>
      <w:r>
        <w:rPr>
          <w:rtl/>
        </w:rPr>
        <w:t xml:space="preserve">تکنیک های وسیع ابزار </w:t>
      </w:r>
      <w:r>
        <w:t>MCDM</w:t>
      </w:r>
      <w:r>
        <w:rPr>
          <w:rtl/>
        </w:rPr>
        <w:t xml:space="preserve"> در دسترس هستند، اما هیچ روش بهتر یا بدتری وجود ندارد، اما آنها برای متناسب با شرایط مختلف و نیازهای ذینفعان مورد استفاده قرار می گیرند. بررسی ادبیات کنونی ما تکنیک های مختلف </w:t>
      </w:r>
      <w:r>
        <w:t>MCDM</w:t>
      </w:r>
      <w:r>
        <w:rPr>
          <w:rtl/>
        </w:rPr>
        <w:t xml:space="preserve"> و ویژگی های مهم را مورد بررسی قرار داد. این بررسی جزئیات در مورد تکنیک </w:t>
      </w:r>
      <w:r>
        <w:t>MCDM</w:t>
      </w:r>
      <w:r>
        <w:rPr>
          <w:rtl/>
        </w:rPr>
        <w:t xml:space="preserve"> در منابع مختلف انرژی مانند قدرت باد، نیروی برق آبی، انرژی هسته ای، نیروی حرارتی و نیروگاه خورشیدی </w:t>
      </w:r>
      <w:r>
        <w:t>PV</w:t>
      </w:r>
      <w:r>
        <w:rPr>
          <w:rtl/>
        </w:rPr>
        <w:t xml:space="preserve"> را نمی دهد. این محدوده مطالعه را می توان به عنوان فرایند توسعه آینده مورد بحث قرار داد</w:t>
      </w:r>
      <w:r>
        <w:rPr>
          <w:rtl/>
        </w:rPr>
        <w:fldChar w:fldCharType="begin" w:fldLock="1"/>
      </w:r>
      <w:r>
        <w:instrText>ADDIN CSL_CITATION { "citationItems" : [ { "id" : "ITEM-1", "itemData" : { "author" : [ { "dropping-particle" : "", "family" : "Shimray", "given" : "Benjamin A", "non-dropping-particle" : "", "parse-names" : false, "suffix" : "" }, { "dropping-particle" : "", "family" : "Manglem", "given" : "Kh", "non-dropping-particle" : "", "parse-names" : false, "suffix" : "" }, { "dropping-particle" : "", "family" : "Mehta", "given" : "R K", "non-dropping-particle" : "", "parse-names" : false, "suffix" : "" } ], "id" : "ITEM-1", "issue" : "Mcdm", "issued" : { "date-parts" : [ [ "0" ] ] }, "page" : "124-140", "title" : "A survey of Multi-Criteria Decision Making Technique used in Renewable Energy Planning", "type" : "article-journal", "volume" : "4523" }, "uris" : [ "http://www.mendeley.com/documents/?uuid=17492bbb-ad3c-4d77-8da2-5d2499396344" ] } ], "mendeley" : { "formattedCitation" : "(Shimray, Manglem, &amp; Mehta, n.d.)", "plainTextFormattedCitation" : "(Shimray, Manglem, &amp; Mehta, n.d.)", "previouslyFormattedCitation" : "(Shimray, Manglem, &amp; Mehta, n.d.)" }, "properties" : {  }, "schema" : "https://github.com/citation-style-language/schema/raw/master/csl-citation.json" }</w:instrText>
      </w:r>
      <w:r>
        <w:rPr>
          <w:rtl/>
        </w:rPr>
        <w:fldChar w:fldCharType="separate"/>
      </w:r>
      <w:r w:rsidRPr="000D2B5B">
        <w:rPr>
          <w:noProof/>
        </w:rPr>
        <w:t>(Shimray, Manglem, &amp; Mehta, n.d.)</w:t>
      </w:r>
      <w:r>
        <w:rPr>
          <w:rtl/>
        </w:rPr>
        <w:fldChar w:fldCharType="end"/>
      </w:r>
      <w:r>
        <w:rPr>
          <w:rFonts w:hint="cs"/>
          <w:rtl/>
          <w:lang w:bidi="fa-IR"/>
        </w:rPr>
        <w:t>.</w:t>
      </w:r>
    </w:p>
    <w:p w14:paraId="0E078CFB" w14:textId="77777777" w:rsidR="000D2B5B" w:rsidRDefault="000D2B5B" w:rsidP="002F0D7F">
      <w:pPr>
        <w:bidi/>
        <w:rPr>
          <w:lang w:bidi="fa-IR"/>
        </w:rPr>
      </w:pPr>
      <w:r>
        <w:rPr>
          <w:lang w:bidi="fa-IR"/>
        </w:rPr>
        <w:t>Strategic energy planning</w:t>
      </w:r>
    </w:p>
    <w:p w14:paraId="52B81EA6" w14:textId="77777777" w:rsidR="00DE7831" w:rsidRDefault="00DE7831" w:rsidP="002F0D7F">
      <w:pPr>
        <w:bidi/>
        <w:rPr>
          <w:rFonts w:cs="B Lotus"/>
          <w:rtl/>
          <w:lang w:bidi="fa-IR"/>
        </w:rPr>
      </w:pPr>
      <w:r>
        <w:rPr>
          <w:rFonts w:cs="B Lotus" w:hint="cs"/>
          <w:rtl/>
        </w:rPr>
        <w:lastRenderedPageBreak/>
        <w:t xml:space="preserve">رز </w:t>
      </w:r>
      <w:r w:rsidRPr="00262069">
        <w:rPr>
          <w:rFonts w:cs="B Lotus"/>
          <w:rtl/>
        </w:rPr>
        <w:t>در این مقاله، مشاهدات و پیشنهادات مربوط به هماهنگی استراتژیک فعالیت های انرژی در مقامات محلی انگلستان با استفاده از یک مطالعه موردی در مورد توسعه انرژی بدنه استراتژی</w:t>
      </w:r>
      <w:r>
        <w:rPr>
          <w:rFonts w:cs="B Lotus"/>
          <w:rtl/>
        </w:rPr>
        <w:t>ک در شورای شهر لیدز ارائه کرد</w:t>
      </w:r>
      <w:r>
        <w:rPr>
          <w:rFonts w:cs="B Lotus" w:hint="cs"/>
          <w:rtl/>
        </w:rPr>
        <w:t>ه</w:t>
      </w:r>
      <w:r>
        <w:rPr>
          <w:rFonts w:cs="B Lotus"/>
          <w:rtl/>
        </w:rPr>
        <w:softHyphen/>
      </w:r>
      <w:r>
        <w:rPr>
          <w:rFonts w:cs="B Lotus" w:hint="cs"/>
          <w:rtl/>
        </w:rPr>
        <w:t>است</w:t>
      </w:r>
      <w:r w:rsidRPr="00262069">
        <w:rPr>
          <w:rFonts w:cs="B Lotus"/>
          <w:rtl/>
        </w:rPr>
        <w:t xml:space="preserve">. مطالعه موردی نشان می دهد که مفهوم یک بدنه انرژی استراتژیک توسط ذینفعان مصاحبه شده به طور مثبت درک شده است. با این حال، </w:t>
      </w:r>
      <w:r>
        <w:rPr>
          <w:rFonts w:cs="B Lotus" w:hint="cs"/>
          <w:rtl/>
        </w:rPr>
        <w:t>با چالش های مهمی روبرواست</w:t>
      </w:r>
      <w:r w:rsidRPr="00262069">
        <w:rPr>
          <w:rFonts w:cs="B Lotus"/>
          <w:rtl/>
        </w:rPr>
        <w:t xml:space="preserve">. </w:t>
      </w:r>
      <w:r>
        <w:rPr>
          <w:rFonts w:cs="B Lotus" w:hint="cs"/>
          <w:rtl/>
        </w:rPr>
        <w:t xml:space="preserve">اما </w:t>
      </w:r>
      <w:r w:rsidRPr="00262069">
        <w:rPr>
          <w:rFonts w:cs="B Lotus"/>
          <w:rtl/>
        </w:rPr>
        <w:t>در انگلستان "دولت محلی می تواند تأثیر قابل توجهی در تولید انرژی و مصرف انرژی داشته باشد"</w:t>
      </w:r>
      <w:r>
        <w:rPr>
          <w:rFonts w:cs="B Lotus" w:hint="cs"/>
          <w:rtl/>
        </w:rPr>
        <w:t xml:space="preserve"> و این خوشبینانه است</w:t>
      </w:r>
      <w:r w:rsidRPr="00262069">
        <w:rPr>
          <w:rFonts w:cs="B Lotus"/>
          <w:rtl/>
        </w:rPr>
        <w:fldChar w:fldCharType="begin" w:fldLock="1"/>
      </w:r>
      <w:r>
        <w:rPr>
          <w:rFonts w:cs="B Lotus"/>
        </w:rPr>
        <w:instrText>ADDIN CSL_CITATION { "citationItems" : [ { "id" : "ITEM-1", "itemData" : { "author" : [ { "dropping-particle" : "", "family" : "Rose", "given" : "White", "non-dropping-particle" : "", "parse-names" : false, "suffix" : "" } ], "id" : "ITEM-1", "issued" : { "date-parts" : [ [ "2012" ] ] }, "title" : "Universities of Leeds , Sheffield and York Strategic Energy Planning within Local Authorities in the UK : a", "type" : "article-journal" }, "uris" : [ "http://www.mendeley.com/documents/?uuid=451cbebc-a01c-45fe-8ccd-6d59c0bba71d" ] } ], "mendeley" : { "formattedCitation" : "(Rose, 2012)", "plainTextFormattedCitation" : "(Rose, 2012)", "previouslyFormattedCitation" : "(Rose, 2012)" }, "properties" : {  }, "schema" : "https://github.com/citation-style-language/schema/raw/master/csl-citation.json" }</w:instrText>
      </w:r>
      <w:r w:rsidRPr="00262069">
        <w:rPr>
          <w:rFonts w:cs="B Lotus"/>
          <w:rtl/>
        </w:rPr>
        <w:fldChar w:fldCharType="separate"/>
      </w:r>
      <w:r w:rsidRPr="00BB5C08">
        <w:rPr>
          <w:rFonts w:cs="B Lotus"/>
          <w:noProof/>
        </w:rPr>
        <w:t>(Rose, 2012)</w:t>
      </w:r>
      <w:r w:rsidRPr="00262069">
        <w:rPr>
          <w:rFonts w:cs="B Lotus"/>
          <w:rtl/>
        </w:rPr>
        <w:fldChar w:fldCharType="end"/>
      </w:r>
      <w:r w:rsidRPr="00262069">
        <w:rPr>
          <w:rFonts w:cs="B Lotus"/>
          <w:rtl/>
        </w:rPr>
        <w:t>.</w:t>
      </w:r>
      <w:r>
        <w:rPr>
          <w:rFonts w:cs="B Lotus" w:hint="cs"/>
          <w:rtl/>
          <w:lang w:bidi="fa-IR"/>
        </w:rPr>
        <w:t xml:space="preserve"> </w:t>
      </w:r>
    </w:p>
    <w:p w14:paraId="7C7C993F" w14:textId="77777777" w:rsidR="007536BF" w:rsidRDefault="000D2B5B" w:rsidP="002F0D7F">
      <w:pPr>
        <w:bidi/>
      </w:pPr>
      <w:r>
        <w:rPr>
          <w:rtl/>
        </w:rPr>
        <w:t>ا</w:t>
      </w:r>
      <w:r>
        <w:rPr>
          <w:rtl/>
        </w:rPr>
        <w:t>ین مقاله با هدف ایجاد یک کلی کلی از رویکرد و استفاده از استراتژی های انرژی محلی در میان شرکت کنندگان در برنامه های شهرداری های پایدار است. این مرور شامل موارد زیر است: تجزیه و تحلیل اینکه آیا برنامه های انرژی یا استراتژی های موجود وجود دارد، که این برنامه ها را رفع می کند، کدام بازیگران را شامل می شود، و آیا پیگیری دنبال می شود. ما استراتژی های انرژی محلی را از منظر مدیریت روشن می کنیم و در مورد اینکه آیا ساختار بازیگران بر اهداف و اقدامات پیشنهادی تاثیر می گذارند، بحث می کنیم، اگر طرح هایی برای پیاده سازی و پیگیری وجود داشته باشد. جاه طلبی های ما این است که نظریه ها را در مورد چگونگی مدیریت یک برنامه ریزی استراتژیک انرژی کارآمد و نحوه دستیابی به مشارکت ذینفعان ذینفع ادغام کنیم. این به منظور بحث در مورد نقاط ضعف و قوت در برنامه های برنامه ریزی انرژی شهری موجود و چگونگی بهبود برنامه ریزی انرژی در ارتباط با این نظریه ها است</w:t>
      </w:r>
      <w:r>
        <w:rPr>
          <w:rtl/>
        </w:rPr>
        <w:fldChar w:fldCharType="begin" w:fldLock="1"/>
      </w:r>
      <w:r>
        <w:instrText>ADDIN CSL_CITATION { "citationItems" : [ { "id" : "ITEM-1", "itemData" : { "DOI" : "10.1016/j.jclepro.2014.08.014", "ISBN" : "0959-6526", "ISSN" : "09596526", "abstract" : "When it comes to improving energy efficiency and environmental sustainability, municipalities are important actors. The Swedish Energy Agency initiated a program called Sustainable Municipalities to support strategic energy activities at the local level. Participating municipalities were mandated to develop local energy and climate strategies. This study gives a general overview of how the 60 participants in the Sustainable Municipalities program developed and used energy strategies. The paper focuses on analyses of whether energy plans or strategies are present, and if present, how the municipalities address the issues, what actors are involved, and whether follow-up of the strategies is pursued. The empirical data were collected using structured telephone interviews and documentation studies. The paper elucidates local energy strategies from a management perspective, discuss whether and how the composition of actors influences suggested goals and measures, and explore whether there were plans for implementation and follow-ups. The theoretical ambitions are to integrate theories on how to manage efficient strategic energy planning with theories on how to achieve successful participation of stakeholders. These theories are used to discuss weaknesses and strengths in existing municipal energy planning practices and potential improvements. The results from this paper show that only 75% of the municipalities adopted local energy strategies. In addition, it was revealed that the processes to develop the strategies generally included several municipal actors although other stakeholders were rarely represented. The strategies resulted in concrete measures; however, there were no clear correlations between included actors, suggested measures, and identified themes in the strategies.", "author" : [ { "dropping-particle" : "", "family" : "ACGustafsson", "given" : "Sara", "non-dropping-particle" : "", "parse-names" : false, "suffix" : "" }, { "dropping-particle" : "", "family" : "Ivner", "given" : "Jenny", "non-dropping-particle" : "", "parse-names" : false, "suffix" : "" }, { "dropping-particle" : "", "family" : "Palm", "given" : "Jenny", "non-dropping-particle" : "", "parse-names" : false, "suffix" : "" } ], "container-title" : "Journal of Cleaner Production", "id" : "ITEM-1", "issued" : { "date-parts" : [ [ "2015" ] ] }, "page" : "205-212", "title" : "Management and stakeholder participation in local strategic energy planning - Examples from Sweden", "type" : "article-journal", "volume" : "98" }, "uris" : [ "http://www.mendeley.com/documents/?uuid=a8ae265b-38c0-44be-acc7-d9410bff01d5" ] } ], "mendeley" : { "formattedCitation" : "(ACGustafsson, Ivner, &amp; Palm, 2015)", "plainTextFormattedCitation" : "(ACGustafsson, Ivner, &amp; Palm, 2015)", "previouslyFormattedCitation" : "(ACGustafsson, Ivner, &amp; Palm, 2015)" }, "properties" : {  }, "schema" : "https://github.com/citation-style-language/schema/raw/master/csl-citation.json" }</w:instrText>
      </w:r>
      <w:r>
        <w:rPr>
          <w:rtl/>
        </w:rPr>
        <w:fldChar w:fldCharType="separate"/>
      </w:r>
      <w:r w:rsidRPr="000D2B5B">
        <w:rPr>
          <w:noProof/>
        </w:rPr>
        <w:t>(ACGustafsson, Ivner, &amp; Palm, 2015)</w:t>
      </w:r>
      <w:r>
        <w:rPr>
          <w:rtl/>
        </w:rPr>
        <w:fldChar w:fldCharType="end"/>
      </w:r>
      <w:r>
        <w:rPr>
          <w:rtl/>
        </w:rPr>
        <w:t>.</w:t>
      </w:r>
    </w:p>
    <w:p w14:paraId="53100903" w14:textId="77777777" w:rsidR="002F0D7F" w:rsidRDefault="002F0D7F" w:rsidP="002F0D7F">
      <w:pPr>
        <w:bidi/>
        <w:rPr>
          <w:rFonts w:cs="B Lotus"/>
        </w:rPr>
      </w:pPr>
      <w:r>
        <w:rPr>
          <w:rFonts w:cs="B Lotus" w:hint="cs"/>
          <w:rtl/>
        </w:rPr>
        <w:t xml:space="preserve">هنریک لاند  </w:t>
      </w:r>
      <w:r w:rsidRPr="00262069">
        <w:rPr>
          <w:rFonts w:cs="B Lotus" w:hint="cs"/>
          <w:rtl/>
        </w:rPr>
        <w:t>بر اساس مورد دانمارک، در مورد مشکلات و چشم انداز تبدیل سیستم های انرژی فعلی به یک سیستم 100</w:t>
      </w:r>
      <w:r w:rsidRPr="00262069">
        <w:rPr>
          <w:rFonts w:cs="Times New Roman" w:hint="cs"/>
          <w:rtl/>
        </w:rPr>
        <w:t>٪</w:t>
      </w:r>
      <w:r w:rsidRPr="00262069">
        <w:rPr>
          <w:rFonts w:cs="B Lotus" w:hint="cs"/>
          <w:rtl/>
        </w:rPr>
        <w:t xml:space="preserve"> انرژی تجدید پذیر </w:t>
      </w:r>
      <w:r>
        <w:rPr>
          <w:rFonts w:cs="B Lotus" w:hint="cs"/>
          <w:rtl/>
        </w:rPr>
        <w:t>بحث کرده</w:t>
      </w:r>
      <w:r>
        <w:rPr>
          <w:rFonts w:cs="B Lotus"/>
          <w:rtl/>
        </w:rPr>
        <w:softHyphen/>
      </w:r>
      <w:r>
        <w:rPr>
          <w:rFonts w:cs="B Lotus" w:hint="cs"/>
          <w:rtl/>
        </w:rPr>
        <w:t>اند</w:t>
      </w:r>
      <w:r w:rsidRPr="00262069">
        <w:rPr>
          <w:rFonts w:cs="B Lotus" w:hint="cs"/>
          <w:rtl/>
        </w:rPr>
        <w:t>. نتیجه گیری این است که چنین توسعه امکان پذیر است. منابع ضروری انرژی تجدید پذیر وجود دارند و اگر پیشرفت های تکنولوژیکی بیشتری در سیستم انرژی به دست آید، سیستم انرژی تجدید پذیر ایجاد می شود. به ویژه تکنولوژی های تبدیل بخش حمل و نقل و معرفی فن آوری های سیستم های انعطاف پذیر، بسیار مهم هستند</w:t>
      </w:r>
      <w:r>
        <w:rPr>
          <w:rFonts w:cs="B Lotus" w:hint="cs"/>
          <w:rtl/>
        </w:rPr>
        <w:t xml:space="preserve">. </w:t>
      </w:r>
      <w:r w:rsidRPr="00262069">
        <w:rPr>
          <w:rFonts w:cs="B Lotus" w:hint="cs"/>
          <w:rtl/>
        </w:rPr>
        <w:t xml:space="preserve"> </w:t>
      </w:r>
      <w:commentRangeStart w:id="3"/>
      <w:r w:rsidRPr="00262069">
        <w:rPr>
          <w:rFonts w:cs="B Lotus" w:hint="cs"/>
          <w:rtl/>
        </w:rPr>
        <w:t xml:space="preserve">تمام تغییرات با استفاده از مدل تحلیل انرژی سیستم </w:t>
      </w:r>
      <w:r>
        <w:rPr>
          <w:rFonts w:cs="B Lotus" w:hint="cs"/>
          <w:rtl/>
        </w:rPr>
        <w:t>انرژی</w:t>
      </w:r>
      <w:r>
        <w:rPr>
          <w:rFonts w:cs="B Lotus"/>
          <w:rtl/>
        </w:rPr>
        <w:softHyphen/>
      </w:r>
      <w:r>
        <w:rPr>
          <w:rFonts w:cs="B Lotus" w:hint="cs"/>
          <w:rtl/>
        </w:rPr>
        <w:t>پلن</w:t>
      </w:r>
      <w:r>
        <w:rPr>
          <w:rStyle w:val="FootnoteReference"/>
          <w:rtl/>
        </w:rPr>
        <w:footnoteReference w:id="4"/>
      </w:r>
      <w:r>
        <w:rPr>
          <w:rFonts w:cs="B Lotus" w:hint="cs"/>
          <w:rtl/>
        </w:rPr>
        <w:t xml:space="preserve"> </w:t>
      </w:r>
      <w:r w:rsidRPr="00262069">
        <w:rPr>
          <w:rFonts w:cs="B Lotus" w:hint="cs"/>
          <w:rtl/>
        </w:rPr>
        <w:t xml:space="preserve">محاسبه شده است. تعادل انرژی هر سیستم برای هر ساعت سال ، با توجه به ماهیت متناوب </w:t>
      </w:r>
      <w:r w:rsidRPr="00262069">
        <w:rPr>
          <w:rFonts w:cs="B Lotus"/>
        </w:rPr>
        <w:t>RES</w:t>
      </w:r>
      <w:r w:rsidRPr="00262069">
        <w:rPr>
          <w:rFonts w:cs="B Lotus" w:hint="cs"/>
          <w:rtl/>
        </w:rPr>
        <w:t>، محدودیت ها در ظرفیت های فن آوری های انعطاف پذیر و همچنین نیازهای خدمات جانبی</w:t>
      </w:r>
      <w:r w:rsidRPr="009D207B">
        <w:rPr>
          <w:rFonts w:cs="B Lotus" w:hint="cs"/>
          <w:rtl/>
        </w:rPr>
        <w:t xml:space="preserve"> </w:t>
      </w:r>
      <w:r w:rsidRPr="00262069">
        <w:rPr>
          <w:rFonts w:cs="B Lotus" w:hint="cs"/>
          <w:rtl/>
        </w:rPr>
        <w:t>محاسبه می شود</w:t>
      </w:r>
      <w:commentRangeEnd w:id="3"/>
      <w:r>
        <w:rPr>
          <w:rStyle w:val="CommentReference"/>
          <w:rtl/>
        </w:rPr>
        <w:commentReference w:id="3"/>
      </w:r>
      <w:r w:rsidRPr="00262069">
        <w:rPr>
          <w:rFonts w:cs="B Lotus"/>
          <w:rtl/>
        </w:rPr>
        <w:fldChar w:fldCharType="begin" w:fldLock="1"/>
      </w:r>
      <w:r>
        <w:rPr>
          <w:rFonts w:cs="B Lotus"/>
        </w:rPr>
        <w:instrText>ADDIN CSL_CITATION { "citationItems" : [ { "id" : "ITEM-1", "itemData" : { "DOI" : "10.1016/j.energy.2006.10.017", "ISBN" : "0360-5442", "ISSN" : "03605442", "abstract" : "This paper discusses the perspective of renewable energy (wind, solar, wave and biomass) in the making of strategies for a sustainable development. Such strategies typically involve three major technological changes: energy savings on the demand side, efficiency improvements in the energy production, and replacement of fossil fuels by various sources of renewable energy. Consequently, large-scale renewable energy implementation plans must include strategies for integrating renewable sources in coherent energy systems influenced by energy savings and efficiency measures. Based on the case of Denmark, this paper discusses the problems and perspectives of converting present energy systems into a 100% renewable energy system. The conclusion is that such development is possible. The necessary renewable energy sources are present, and if further technological improvements of the energy system are achieved the renewable energy system can be created. Especially technologies of converting the transportation sector and the introduction of flexible energy system technologies are crucial. \u00a9 2006 Elsevier Ltd. All rights reserved.", "author" : [ { "dropping-particle" : "", "family" : "Lund", "given" : "Henrik", "non-dropping-particle" : "", "parse-names" : false, "suffix" : "" } ], "container-title" : "Energy", "id" : "ITEM-1", "issue" : "6", "issued" : { "date-parts" : [ [ "2007" ] ] }, "page" : "912-919", "title" : "Renewable energy strategies for sustainable development", "type" : "article-journal", "volume" : "32" }, "uris" : [ "http://www.mendeley.com/documents/?uuid=436b6965-c8c1-4f75-aa64-0c397d3e37dd" ] } ], "mendeley" : { "formattedCitation" : "(Lund, 2007)", "plainTextFormattedCitation" : "(Lund, 2007)", "previouslyFormattedCitation" : "(Lund, 2007)" }, "properties" : {  }, "schema" : "https://github.com/citation-style-language/schema/raw/master/csl-citation.json" }</w:instrText>
      </w:r>
      <w:r w:rsidRPr="00262069">
        <w:rPr>
          <w:rFonts w:cs="B Lotus"/>
          <w:rtl/>
        </w:rPr>
        <w:fldChar w:fldCharType="separate"/>
      </w:r>
      <w:r w:rsidRPr="00BB5C08">
        <w:rPr>
          <w:rFonts w:cs="B Lotus"/>
          <w:noProof/>
        </w:rPr>
        <w:t>(Lund, 2007)</w:t>
      </w:r>
      <w:r w:rsidRPr="00262069">
        <w:rPr>
          <w:rFonts w:cs="B Lotus"/>
          <w:rtl/>
        </w:rPr>
        <w:fldChar w:fldCharType="end"/>
      </w:r>
      <w:r w:rsidRPr="00262069">
        <w:rPr>
          <w:rFonts w:cs="B Lotus"/>
          <w:rtl/>
        </w:rPr>
        <w:t>.</w:t>
      </w:r>
    </w:p>
    <w:p w14:paraId="29368D23" w14:textId="77777777" w:rsidR="00F76AC8" w:rsidRDefault="00F76AC8" w:rsidP="002F0D7F">
      <w:pPr>
        <w:bidi/>
      </w:pPr>
      <w:r>
        <w:rPr>
          <w:rtl/>
        </w:rPr>
        <w:t xml:space="preserve">نتایج حاصل از این آزمایش مستلزم آن است که نیاز به ساده سازی روش های استفاده شده جهت استفاده در برنامه ریزی انرژی محلی وجود دارد. به عنوان مثال، به عنوان </w:t>
      </w:r>
      <w:r>
        <w:t>EAs</w:t>
      </w:r>
      <w:r>
        <w:rPr>
          <w:rtl/>
        </w:rPr>
        <w:t xml:space="preserve"> در طرح انرژی </w:t>
      </w:r>
      <w:r>
        <w:t>Finspång</w:t>
      </w:r>
      <w:r>
        <w:rPr>
          <w:rtl/>
        </w:rPr>
        <w:t xml:space="preserve"> جامع تر از دیگر برنامه های اخیر انرژی سوئدی بود، این نشان می دهد که </w:t>
      </w:r>
      <w:r>
        <w:t>EA</w:t>
      </w:r>
      <w:r>
        <w:rPr>
          <w:rtl/>
        </w:rPr>
        <w:t xml:space="preserve"> های ساده نیز می توانند اطلاعات مفیدی را ارائه دهند. همچنین رضایت از مباحثه با هیئت مدیره شهرداری در میان گروه کاری کارکنان شهرداری و اقداماتی که توسط هیئت توسط هیات پیشنهاد شده توسط مردم پشتیبانی می شود، نشان می دهد که حتی اگر هیئت نمایندگان به طور کامل نماینده ای برای تمام سهامداران نباشد، آنها در فرایند برنامه ریزی انرژی نقش مهمی ایفا کردند. به این نتیجه می رسیم که این آزمایش نشان داده است که در استفاده از ترکیبی از ابزارهای تصمیم گیری در برنامه ریزی انرژی محلی، پتانسیل زیادی وجود دارد، اما در چالش های عملیاتی که باید مورد توجه قرار گیرند، همچنان روش شناسی وجود دارد. این همچنین نشان می دهد که راه حل های ساده برای استفاده از ابزار می تواند به طور قابل توجهی در روند برنامه ریزی انرژی محلی کمک کند</w:t>
      </w:r>
      <w:r>
        <w:rPr>
          <w:rtl/>
        </w:rPr>
        <w:fldChar w:fldCharType="begin" w:fldLock="1"/>
      </w:r>
      <w:r>
        <w:instrText>ADDIN CSL_CITATION { "citationItems" : [ { "id" : "ITEM-1", "itemData" : { "DOI" : "10.1016/j.enpol.2013.10.027", "ISBN" : "03014215 (ISSN)", "ISSN" : "03014215", "abstract" : "This paper is a review of the most recent literature on the interaction between climate change, land-use and energy, based on the analysis of papers collected through the most relevant scientific literature databases. A total of 114 papers published between 2000 and 2011 were reviewed. The aims of this review are: in general (1) to identify the different research topics that have been developed related to the interaction between climate change, land-use and energy; more specifically, (2) to analyze what are the most suitable spatial and temporal scales of investigation to focus on for actions and strategies to reduce critical issues in the field of energy and environment; (3) to identify which actions and strategies are deemed as the most appropriate to mitigate critical issues in energy and environment; and given the research gaps found in the review, (4) to propose research recommendations in the context of effective climate-energy planning. We argue that there are certain gaps and needs for a \"nested\" environmental governance. It is necessary to understand how different environmental policies overlap and how they can be integrated in order to verify whether there are conflicting targets that may negate each other in the long term. ?? 2013 Elsevier Ltd.", "author" : [ { "dropping-particle" : "", "family" : "Pasimeni", "given" : "Maria Rita", "non-dropping-particle" : "", "parse-names" : false, "suffix" : "" }, { "dropping-particle" : "", "family" : "Petrosillo", "given" : "Irene", "non-dropping-particle" : "", "parse-names" : false, "suffix" : "" }, { "dropping-particle" : "", "family" : "Aretano", "given" : "Roberta", "non-dropping-particle" : "", "parse-names" : false, "suffix" : "" }, { "dropping-particle" : "", "family" : "Semeraro", "given" : "Teodoro", "non-dropping-particle" : "", "parse-names" : false, "suffix" : "" }, { "dropping-particle" : "", "family" : "Marco", "given" : "Antonella", "non-dropping-particle" : "De", "parse-names" : false, "suffix" : "" }, { "dropping-particle" : "", "family" : "Zaccarelli", "given" : "Nicola", "non-dropping-particle" : "", "parse-names" : false, "suffix" : "" }, { "dropping-particle" : "", "family" : "Zurlini", "given" : "Giovanni", "non-dropping-particle" : "", "parse-names" : false, "suffix" : "" } ], "container-title" : "Energy Policy", "id" : "ITEM-1", "issued" : { "date-parts" : [ [ "2014" ] ] }, "page" : "165-174", "publisher" : "Elsevier", "title" : "Scales, strategies and actions for effective energy planning: A review", "type" : "article-journal", "volume" : "65" }, "uris" : [ "http://www.mendeley.com/documents/?uuid=22de1d80-e799-4c43-92d1-645bdc175699" ] } ], "mendeley" : { "formattedCitation" : "(Pasimeni et al., 2014)", "plainTextFormattedCitation" : "(Pasimeni et al., 2014)", "previouslyFormattedCitation" : "(Pasimeni et al., 2014)" }, "properties" : {  }, "schema" : "https://github.com/citation-style-language/schema/raw/master/csl-citation.json" }</w:instrText>
      </w:r>
      <w:r>
        <w:rPr>
          <w:rtl/>
        </w:rPr>
        <w:fldChar w:fldCharType="separate"/>
      </w:r>
      <w:r w:rsidRPr="00F76AC8">
        <w:rPr>
          <w:noProof/>
        </w:rPr>
        <w:t>(Pasimeni et al., 2014)</w:t>
      </w:r>
      <w:r>
        <w:rPr>
          <w:rtl/>
        </w:rPr>
        <w:fldChar w:fldCharType="end"/>
      </w:r>
      <w:r>
        <w:rPr>
          <w:rtl/>
        </w:rPr>
        <w:t>.</w:t>
      </w:r>
    </w:p>
    <w:p w14:paraId="2CD13169" w14:textId="77777777" w:rsidR="00F76AC8" w:rsidRDefault="002F0D7F" w:rsidP="002F0D7F">
      <w:pPr>
        <w:bidi/>
        <w:rPr>
          <w:rFonts w:ascii="Times New Roman" w:eastAsia="Times New Roman" w:hAnsi="Times New Roman" w:cs="Times New Roman"/>
          <w:sz w:val="24"/>
          <w:szCs w:val="24"/>
        </w:rPr>
      </w:pPr>
      <w:r>
        <w:rPr>
          <w:rFonts w:cs="B Lotus" w:hint="cs"/>
          <w:rtl/>
        </w:rPr>
        <w:t xml:space="preserve">کار فیلیپ و همکارانش گزارشی </w:t>
      </w:r>
      <w:r w:rsidRPr="00262069">
        <w:rPr>
          <w:rFonts w:cs="B Lotus" w:hint="cs"/>
          <w:rtl/>
        </w:rPr>
        <w:t xml:space="preserve">در مورد </w:t>
      </w:r>
      <w:r w:rsidRPr="00262069">
        <w:rPr>
          <w:rFonts w:cs="B Lotus"/>
        </w:rPr>
        <w:t>SEA</w:t>
      </w:r>
      <w:r w:rsidRPr="00262069">
        <w:rPr>
          <w:rFonts w:cs="B Lotus" w:hint="cs"/>
          <w:rtl/>
        </w:rPr>
        <w:t xml:space="preserve"> اعمال شده در بخش انرژی باد در انگلستان و آلمان </w:t>
      </w:r>
      <w:r>
        <w:rPr>
          <w:rFonts w:cs="B Lotus" w:hint="cs"/>
          <w:rtl/>
        </w:rPr>
        <w:t>تهیه کرد</w:t>
      </w:r>
      <w:r>
        <w:rPr>
          <w:rFonts w:cs="B Lotus"/>
          <w:rtl/>
        </w:rPr>
        <w:softHyphen/>
      </w:r>
      <w:r>
        <w:rPr>
          <w:rFonts w:cs="B Lotus" w:hint="cs"/>
          <w:rtl/>
        </w:rPr>
        <w:t>اند</w:t>
      </w:r>
      <w:r w:rsidRPr="00262069">
        <w:rPr>
          <w:rFonts w:cs="B Lotus" w:hint="cs"/>
          <w:rtl/>
        </w:rPr>
        <w:t xml:space="preserve">. به طور کلی، تأثیر </w:t>
      </w:r>
      <w:r w:rsidRPr="00262069">
        <w:rPr>
          <w:rFonts w:cs="B Lotus"/>
        </w:rPr>
        <w:t>SEA</w:t>
      </w:r>
      <w:r w:rsidRPr="00262069">
        <w:rPr>
          <w:rFonts w:cs="B Lotus" w:hint="cs"/>
          <w:rtl/>
        </w:rPr>
        <w:t xml:space="preserve"> بر روی ساختن طرح انرژی باد در آلمان، پایین آمده و تأثیر </w:t>
      </w:r>
      <w:r w:rsidRPr="00262069">
        <w:rPr>
          <w:rFonts w:cs="B Lotus"/>
        </w:rPr>
        <w:t>SEA</w:t>
      </w:r>
      <w:r w:rsidRPr="00262069">
        <w:rPr>
          <w:rFonts w:cs="B Lotus" w:hint="cs"/>
          <w:rtl/>
        </w:rPr>
        <w:t xml:space="preserve"> در برنامه های انگلیس مورد توجه قرار گرفته است. برنامه های آلمان نفوذ کمتری را به دست آوردند که عمدتا به دلیل عملکرد محیط زیست بالا در طرح های پایه در نظر گرفته شده است. یافته های </w:t>
      </w:r>
      <w:r>
        <w:rPr>
          <w:rFonts w:cs="B Lotus" w:hint="cs"/>
          <w:rtl/>
        </w:rPr>
        <w:t xml:space="preserve">آنها </w:t>
      </w:r>
      <w:r w:rsidRPr="00262069">
        <w:rPr>
          <w:rFonts w:cs="B Lotus" w:hint="cs"/>
          <w:rtl/>
        </w:rPr>
        <w:t xml:space="preserve">به برخی از ناتوانی های عملی </w:t>
      </w:r>
      <w:r w:rsidRPr="00262069">
        <w:rPr>
          <w:rFonts w:cs="B Lotus"/>
        </w:rPr>
        <w:t>SEA</w:t>
      </w:r>
      <w:r w:rsidRPr="00262069">
        <w:rPr>
          <w:rFonts w:cs="B Lotus" w:hint="cs"/>
          <w:rtl/>
        </w:rPr>
        <w:t xml:space="preserve"> در مطالعات قبلی در مورد اثربخشی </w:t>
      </w:r>
      <w:r w:rsidRPr="00262069">
        <w:rPr>
          <w:rFonts w:cs="B Lotus"/>
        </w:rPr>
        <w:t>SEA</w:t>
      </w:r>
      <w:r w:rsidRPr="00262069">
        <w:rPr>
          <w:rFonts w:cs="B Lotus" w:hint="cs"/>
          <w:rtl/>
        </w:rPr>
        <w:t xml:space="preserve">، از جمله پیش بینی های ضعیف و بخش های اهمیت و فقدان </w:t>
      </w:r>
      <w:r>
        <w:rPr>
          <w:rFonts w:cs="B Lotus" w:hint="cs"/>
          <w:rtl/>
        </w:rPr>
        <w:t>طرح</w:t>
      </w:r>
      <w:r>
        <w:rPr>
          <w:rFonts w:cs="B Lotus"/>
          <w:rtl/>
        </w:rPr>
        <w:softHyphen/>
      </w:r>
      <w:r w:rsidRPr="00262069">
        <w:rPr>
          <w:rFonts w:cs="B Lotus" w:hint="cs"/>
          <w:rtl/>
        </w:rPr>
        <w:t>های نظارت دقیق برای پیاده سازی پس از پیگیری اشاره می کند</w:t>
      </w:r>
      <w:r w:rsidRPr="00262069">
        <w:rPr>
          <w:rFonts w:cs="B Lotus" w:hint="cs"/>
          <w:rtl/>
        </w:rPr>
        <w:fldChar w:fldCharType="begin" w:fldLock="1"/>
      </w:r>
      <w:r>
        <w:rPr>
          <w:rFonts w:cs="B Lotus"/>
        </w:rPr>
        <w:instrText>ADDIN CSL_CITATION { "citationItems" : [ { "id" : "ITEM-1", "itemData" : { "DOI" : "10.1016/j.eiar.2014.09.013", "ISSN" : "01959255", "abstract" : "This paper reports on SEA applied in the wind energy sector in the UK and Germany. Based on a review of 18 SEAs, it is found that the quality of SEA documentation is variable, with over a third of them being deemed unsatisfactory. Furthermore, SEA processes are conducted to varying degrees of effectiveness, with scoping a strength but impact prediction and mitigation weaknesses. Generally speaking, the influence of SEA on German wind energy plan making was found to be low and the influence of SEA on UK plans deemed to be moderate. The German plans had a low influence mainly because of a perceived high environmental performance of the underlying plans in the first instance. Substantive outcomes of SEA are not always clear and the influence of SEA on decision making is said to be limited in many cases. Finally, a lack of effective tiering between SEA and project level EIA is also observed. In addition, our findings echo some of the weaknesses of SEA practice found in previous studies of SEA effectiveness, including poor impact prediction and significance sections and a lack of detailed monitoring programmes for post plan implementation.", "author" : [ { "dropping-particle" : "", "family" : "Phylip-Jones", "given" : "J.", "non-dropping-particle" : "", "parse-names" : false, "suffix" : "" }, { "dropping-particle" : "", "family" : "Fischer", "given" : "T. B.", "non-dropping-particle" : "", "parse-names" : false, "suffix" : "" } ], "container-title" : "Environmental Impact Assessment Review", "id" : "ITEM-1", "issued" : { "date-parts" : [ [ "2015" ] ] }, "page" : "203-212", "publisher" : "Elsevier B.V.", "title" : "Strategic environmental assessment (SEA) for wind energy planning: Lessons from the United Kingdom and Germany", "type" : "article-journal", "volume" : "50" }, "uris" : [ "http://www.mendeley.com/documents/?uuid=915376c2-a713-4f83-9e1e-c0d169c2722b" ] } ], "mendeley" : { "formattedCitation" : "(Phylip-Jones &amp; Fischer, 2015)", "plainTextFormattedCitation" : "(Phylip-Jones &amp; Fischer, 2015)", "previouslyFormattedCitation" : "(Phylip-Jones &amp; Fischer, 2015)" }, "properties" : {  }, "schema" : "https://github.com/citation-style-language/schema/raw/master/csl-citation.json" }</w:instrText>
      </w:r>
      <w:r w:rsidRPr="00262069">
        <w:rPr>
          <w:rFonts w:cs="B Lotus" w:hint="cs"/>
          <w:rtl/>
        </w:rPr>
        <w:fldChar w:fldCharType="separate"/>
      </w:r>
      <w:r w:rsidRPr="00BB5C08">
        <w:rPr>
          <w:rFonts w:cs="B Lotus"/>
          <w:noProof/>
        </w:rPr>
        <w:t>(Phylip-Jones &amp; Fischer, 2015)</w:t>
      </w:r>
      <w:r w:rsidRPr="00262069">
        <w:rPr>
          <w:rFonts w:cs="B Lotus" w:hint="cs"/>
          <w:rtl/>
        </w:rPr>
        <w:fldChar w:fldCharType="end"/>
      </w:r>
      <w:r>
        <w:rPr>
          <w:rFonts w:cs="B Lotus" w:hint="cs"/>
          <w:rtl/>
        </w:rPr>
        <w:t>.</w:t>
      </w:r>
    </w:p>
    <w:p w14:paraId="70615DBC" w14:textId="77777777" w:rsidR="00F76AC8" w:rsidRDefault="00F76AC8" w:rsidP="002F0D7F">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Sustainable development</w:t>
      </w:r>
    </w:p>
    <w:p w14:paraId="6255F845" w14:textId="77777777" w:rsidR="002F0D7F" w:rsidRDefault="002F0D7F" w:rsidP="002F0D7F">
      <w:pPr>
        <w:bidi/>
        <w:rPr>
          <w:rFonts w:cs="B Lotus"/>
        </w:rPr>
      </w:pPr>
      <w:commentRangeStart w:id="4"/>
      <w:r w:rsidRPr="00262069">
        <w:rPr>
          <w:rFonts w:cs="B Lotus"/>
          <w:rtl/>
        </w:rPr>
        <w:lastRenderedPageBreak/>
        <w:t>چشم انداز جامع از ذینفعان مختلف انرژی در مورد قدرت، ضعف، فرصت ها و تهدیدات (</w:t>
      </w:r>
      <w:r w:rsidRPr="00262069">
        <w:rPr>
          <w:rFonts w:cs="B Lotus"/>
        </w:rPr>
        <w:t>SWOT</w:t>
      </w:r>
      <w:r w:rsidRPr="00262069">
        <w:rPr>
          <w:rFonts w:cs="B Lotus"/>
          <w:rtl/>
        </w:rPr>
        <w:t xml:space="preserve"> ها) بخش انرژی در </w:t>
      </w:r>
      <w:r>
        <w:rPr>
          <w:rFonts w:cs="B Lotus" w:hint="cs"/>
          <w:rtl/>
        </w:rPr>
        <w:t>اسکندریه</w:t>
      </w:r>
      <w:r w:rsidRPr="00262069">
        <w:rPr>
          <w:rFonts w:cs="B Lotus"/>
          <w:rtl/>
        </w:rPr>
        <w:t xml:space="preserve"> به عنوان پایه برای تشخیص دولت فعلی و طرح خطوط آینده در جهت توسعه انرژی پایدار استفاده می شود. تجزیه و تحلیل نتایج </w:t>
      </w:r>
      <w:r w:rsidRPr="00262069">
        <w:rPr>
          <w:rFonts w:cs="B Lotus"/>
        </w:rPr>
        <w:t>SWOT</w:t>
      </w:r>
      <w:r w:rsidRPr="00262069">
        <w:rPr>
          <w:rFonts w:cs="B Lotus"/>
          <w:rtl/>
        </w:rPr>
        <w:t xml:space="preserve"> اشاره به پذیرش مترقی اتحادیه اروپا در سی</w:t>
      </w:r>
      <w:r>
        <w:rPr>
          <w:rFonts w:cs="B Lotus"/>
          <w:rtl/>
        </w:rPr>
        <w:t>است و مقررات انرژی به عنوان مهم</w:t>
      </w:r>
      <w:r w:rsidRPr="00262069">
        <w:rPr>
          <w:rFonts w:cs="B Lotus"/>
          <w:rtl/>
        </w:rPr>
        <w:t xml:space="preserve">ترین دستاورد در بخش انرژی </w:t>
      </w:r>
      <w:r>
        <w:rPr>
          <w:rFonts w:cs="B Lotus" w:hint="cs"/>
          <w:rtl/>
        </w:rPr>
        <w:t>دارد</w:t>
      </w:r>
      <w:r w:rsidRPr="00262069">
        <w:rPr>
          <w:rFonts w:cs="B Lotus"/>
          <w:rtl/>
        </w:rPr>
        <w:fldChar w:fldCharType="begin" w:fldLock="1"/>
      </w:r>
      <w:r>
        <w:rPr>
          <w:rFonts w:cs="B Lotus"/>
        </w:rPr>
        <w:instrText>ADDIN CSL_CITATION { "citationItems" : [ { "id" : "ITEM-1", "itemData" : { "DOI" : "10.1016/j.energy.2009.02.006", "ISBN" : "0360-5442", "ISSN" : "03605442", "abstract" : "A holistic perspective of various energy stakeholders regarding the Strengths, Weaknesses, Opportunities and Threats (SWOTs) of the energy sector in Macedonia is utilized as baseline to diagnose the current state and to sketch future action lines towards sustainable energy development. The resulting SWOT analyses pointed to the progressive adoption of European Union (EU) standards in energy policy and regulation as the most important achievement in the energy sector. The most important problems the national energy sector faces are scarce domestic resources and unfavorable energy mix, low electricity prices, a high degree of inefficiency in energy production and use, as well as insufficient institutional and human capacities. The formulated portfolio of actions towards enabling sustainable energy development urges the adoption of a comprehensive energy strategy built upon sustainability principles, intensified utilization of the natural gas, economic prices of electricity, structural changes in industry, promotion of energy efficiency and renewables, including Clean Development Mechanism (CDM) projects, enforcement of EU environmental standards and meeting the environmental requirements, as well as institutional and human capacity building. \u00a9 2009 Elsevier Ltd. All rights reserved.", "author" : [ { "dropping-particle" : "", "family" : "Markovska", "given" : "N.", "non-dropping-particle" : "", "parse-names" : false, "suffix" : "" }, { "dropping-particle" : "", "family" : "Taseska", "given" : "V.", "non-dropping-particle" : "", "parse-names" : false, "suffix" : "" }, { "dropping-particle" : "", "family" : "Pop-Jordanov", "given" : "J.", "non-dropping-particle" : "", "parse-names" : false, "suffix" : "" } ], "container-title" : "Energy", "id" : "ITEM-1", "issue" : "6", "issued" : { "date-parts" : [ [ "2009" ] ] }, "page" : "752-756", "title" : "SWOT analyses of the national energy sector for sustainable energy development", "type" : "article-journal", "volume" : "34" }, "uris" : [ "http://www.mendeley.com/documents/?uuid=3519761a-6e39-4146-8665-8f0105f7db46" ] } ], "mendeley" : { "formattedCitation" : "(Markovska, Taseska, &amp; Pop-Jordanov, 2009)", "plainTextFormattedCitation" : "(Markovska, Taseska, &amp; Pop-Jordanov, 2009)", "previouslyFormattedCitation" : "(Markovska, Taseska, &amp; Pop-Jordanov, 2009)" }, "properties" : {  }, "schema" : "https://github.com/citation-style-language/schema/raw/master/csl-citation.json" }</w:instrText>
      </w:r>
      <w:r w:rsidRPr="00262069">
        <w:rPr>
          <w:rFonts w:cs="B Lotus"/>
          <w:rtl/>
        </w:rPr>
        <w:fldChar w:fldCharType="separate"/>
      </w:r>
      <w:r w:rsidRPr="00BB5C08">
        <w:rPr>
          <w:rFonts w:cs="B Lotus"/>
          <w:noProof/>
        </w:rPr>
        <w:t>(Markovska, Taseska, &amp; Pop-Jordanov, 2009)</w:t>
      </w:r>
      <w:r w:rsidRPr="00262069">
        <w:rPr>
          <w:rFonts w:cs="B Lotus"/>
          <w:rtl/>
        </w:rPr>
        <w:fldChar w:fldCharType="end"/>
      </w:r>
      <w:r w:rsidRPr="00262069">
        <w:rPr>
          <w:rFonts w:cs="B Lotus"/>
          <w:rtl/>
        </w:rPr>
        <w:t>.</w:t>
      </w:r>
      <w:commentRangeEnd w:id="4"/>
      <w:r>
        <w:rPr>
          <w:rStyle w:val="CommentReference"/>
        </w:rPr>
        <w:commentReference w:id="4"/>
      </w:r>
      <w:r>
        <w:rPr>
          <w:rFonts w:cs="B Lotus" w:hint="cs"/>
          <w:rtl/>
        </w:rPr>
        <w:t xml:space="preserve"> </w:t>
      </w:r>
    </w:p>
    <w:p w14:paraId="17225C64" w14:textId="77777777" w:rsidR="002F0D7F" w:rsidRPr="00262069" w:rsidRDefault="002F0D7F" w:rsidP="002F0D7F">
      <w:pPr>
        <w:pStyle w:val="NormalWeb"/>
        <w:bidi/>
        <w:spacing w:before="0" w:beforeAutospacing="0" w:after="0" w:afterAutospacing="0"/>
        <w:jc w:val="both"/>
        <w:rPr>
          <w:rFonts w:cs="B Lotus"/>
        </w:rPr>
      </w:pPr>
      <w:r>
        <w:rPr>
          <w:rFonts w:cs="B Lotus" w:hint="cs"/>
          <w:rtl/>
        </w:rPr>
        <w:t>ما</w:t>
      </w:r>
      <w:r>
        <w:rPr>
          <w:rStyle w:val="FootnoteReference"/>
          <w:rtl/>
        </w:rPr>
        <w:footnoteReference w:id="5"/>
      </w:r>
      <w:r>
        <w:rPr>
          <w:rFonts w:cs="B Lotus" w:hint="cs"/>
          <w:rtl/>
        </w:rPr>
        <w:t xml:space="preserve"> و همکارانش</w:t>
      </w:r>
      <w:r w:rsidRPr="00262069">
        <w:rPr>
          <w:rFonts w:cs="B Lotus" w:hint="cs"/>
          <w:rtl/>
        </w:rPr>
        <w:t xml:space="preserve"> یک استراتژی انرژی یکپارچه را بر اساس یک رویکرد سیستم برای حل مشکلات انرژی و معضل انرژی در چین پیشنهاد </w:t>
      </w:r>
      <w:r>
        <w:rPr>
          <w:rFonts w:cs="B Lotus" w:hint="cs"/>
          <w:rtl/>
        </w:rPr>
        <w:t>کردند</w:t>
      </w:r>
      <w:r w:rsidRPr="00262069">
        <w:rPr>
          <w:rFonts w:cs="B Lotus" w:hint="cs"/>
          <w:rtl/>
        </w:rPr>
        <w:t xml:space="preserve">. بر اساس نتایج، پیشنهادات، خلاصه ای و ایده های استراتژیک را به عنوان پیامدهای سیاست گذاری برای تصمیم گیران چینی ارائه </w:t>
      </w:r>
      <w:r>
        <w:rPr>
          <w:rFonts w:cs="B Lotus" w:hint="cs"/>
          <w:rtl/>
        </w:rPr>
        <w:t>کردند</w:t>
      </w:r>
      <w:r w:rsidRPr="00262069">
        <w:rPr>
          <w:rFonts w:cs="B Lotus" w:hint="cs"/>
          <w:rtl/>
        </w:rPr>
        <w:t xml:space="preserve">. در نتیجه، تعیین </w:t>
      </w:r>
      <w:r>
        <w:rPr>
          <w:rFonts w:cs="B Lotus" w:hint="cs"/>
          <w:rtl/>
        </w:rPr>
        <w:t>کردند</w:t>
      </w:r>
      <w:r w:rsidRPr="00262069">
        <w:rPr>
          <w:rFonts w:cs="B Lotus" w:hint="cs"/>
          <w:rtl/>
        </w:rPr>
        <w:t xml:space="preserve"> که چین باید </w:t>
      </w:r>
      <w:r>
        <w:rPr>
          <w:rFonts w:cs="B Lotus" w:hint="cs"/>
          <w:rtl/>
        </w:rPr>
        <w:t>طرح</w:t>
      </w:r>
      <w:r>
        <w:rPr>
          <w:rFonts w:cs="B Lotus"/>
          <w:rtl/>
        </w:rPr>
        <w:softHyphen/>
      </w:r>
      <w:r w:rsidRPr="00262069">
        <w:rPr>
          <w:rFonts w:cs="B Lotus" w:hint="cs"/>
          <w:rtl/>
        </w:rPr>
        <w:t>ریزی و نظارت استراتژیک را از دیدگاه چرخه حیات کل جامعه ارتقا دهد، صرفه جویی در انرژی را اولویت بندی کند، انرژی مدرن را بهبود بخشد و انرژی جایگزین را منطقی کند</w:t>
      </w:r>
      <w:r w:rsidRPr="00262069">
        <w:rPr>
          <w:rFonts w:cs="B Lotus"/>
          <w:rtl/>
        </w:rPr>
        <w:fldChar w:fldCharType="begin" w:fldLock="1"/>
      </w:r>
      <w:r>
        <w:rPr>
          <w:rFonts w:cs="B Lotus"/>
        </w:rPr>
        <w:instrText>ADDIN CSL_CITATION { "citationItems" : [ { "id" : "ITEM-1", "itemData" : { "DOI" : "10.1016/j.energy.2010.11.035", "ISBN" : "0360-5442", "ISSN" : "03605442", "abstract" : "We propose in this paper an integrated energy strategy based on a systems approach to address the energy challenges and energy dilemma in China. First, we give a review of existing approaches to energy planning and strategic management, followed by a discussion on the major relationships among energy, economical, environmental and societal systems. Next, we present a conceptual system model with alternative solutions and clarify corresponding concepts. Based on the results, we propose, summarize, and present strategic ideas as policy implications for China's decision makers. In conclusion, we determine that China should enhance strategic planning and regulation from a life cycle viewpoint of the whole society, prioritize energy saving, continuously improve incumbent energy, and rationally develop alternative energy. \u00a9 2010 Elsevier Ltd.", "author" : [ { "dropping-particle" : "", "family" : "Ma", "given" : "Linwei", "non-dropping-particle" : "", "parse-names" : false, "suffix" : "" }, { "dropping-particle" : "", "family" : "Liu", "given" : "Pei", "non-dropping-particle" : "", "parse-names" : false, "suffix" : "" }, { "dropping-particle" : "", "family" : "Fu", "given" : "Feng", "non-dropping-particle" : "", "parse-names" : false, "suffix" : "" }, { "dropping-particle" : "", "family" : "Li", "given" : "Zheng", "non-dropping-particle" : "", "parse-names" : false, "suffix" : "" }, { "dropping-particle" : "", "family" : "Ni", "given" : "Weidou", "non-dropping-particle" : "", "parse-names" : false, "suffix" : "" } ], "container-title" : "Energy", "id" : "ITEM-1", "issue" : "2", "issued" : { "date-parts" : [ [ "2011" ] ] }, "page" : "1143-1154", "publisher" : "Elsevier Ltd", "title" : "Integrated energy strategy for the sustainable development of China", "type" : "article-journal", "volume" : "36" }, "uris" : [ "http://www.mendeley.com/documents/?uuid=7be61d4a-6853-482c-82bc-e6695bb41348" ] } ], "mendeley" : { "formattedCitation" : "(Ma, Liu, Fu, Li, &amp; Ni, 2011)", "plainTextFormattedCitation" : "(Ma, Liu, Fu, Li, &amp; Ni, 2011)", "previouslyFormattedCitation" : "(Ma, Liu, Fu, Li, &amp; Ni, 2011)" }, "properties" : {  }, "schema" : "https://github.com/citation-style-language/schema/raw/master/csl-citation.json" }</w:instrText>
      </w:r>
      <w:r w:rsidRPr="00262069">
        <w:rPr>
          <w:rFonts w:cs="B Lotus"/>
          <w:rtl/>
        </w:rPr>
        <w:fldChar w:fldCharType="separate"/>
      </w:r>
      <w:r w:rsidRPr="00BB5C08">
        <w:rPr>
          <w:rFonts w:cs="B Lotus"/>
          <w:noProof/>
        </w:rPr>
        <w:t>(Ma, Liu, Fu, Li, &amp; Ni, 2011)</w:t>
      </w:r>
      <w:r w:rsidRPr="00262069">
        <w:rPr>
          <w:rFonts w:cs="B Lotus"/>
          <w:rtl/>
        </w:rPr>
        <w:fldChar w:fldCharType="end"/>
      </w:r>
      <w:r w:rsidRPr="00262069">
        <w:rPr>
          <w:rFonts w:cs="B Lotus"/>
          <w:rtl/>
        </w:rPr>
        <w:t>.</w:t>
      </w:r>
    </w:p>
    <w:p w14:paraId="1C3F1C55" w14:textId="77777777" w:rsidR="007536BF" w:rsidRDefault="00305B75" w:rsidP="002F0D7F">
      <w:pPr>
        <w:bidi/>
        <w:rPr>
          <w:rFonts w:cs="Arial"/>
        </w:rPr>
      </w:pPr>
      <w:r>
        <w:rPr>
          <w:rtl/>
        </w:rPr>
        <w:t>در این مقاله، ما استدلال می کنیم که این تغییر رادیکال در تامین انرژی به سوی افزایش بهره وری انرژی و استفاده از منابع تجدید پذیر تنها می تواند به دست آورد، اگر ابعاد فضایی آن مورد توجه قرار گیرد. سازه های فضایی تأثیر قابل توجهی بر جنبه های مختلف تقاضای انرژی دارند و با برنامه ریزی فضایی، دسترسی و استفاده از منابع تأثیر می پذیرند. علاوه بر این، پیشنهاد می کنیم که انواع مختلف فضایی به استراتژی های مختلف برای اجرای سیستم های انرژی پایدار نیاز دارند و برنامه ریزی فضایی و انرژی یکپارچه برای حمایت از این تغییر نیاز است. چشم اندازها برای چهار نوع ساختار فضایی: شهر، منطقه حومه، شهر کوچک و همچنین مناطق روستایی نقش خود را در "محدوده برنامه ریزی فضایی و منابع" تعریف می کنند که پایه ای برای شکل گیری یک برنامه ریزی فضایی و انرژی مجتمع سیستم.</w:t>
      </w:r>
      <w:r w:rsidRPr="00305B75">
        <w:rPr>
          <w:rFonts w:hint="cs"/>
          <w:rtl/>
        </w:rPr>
        <w:t xml:space="preserve"> </w:t>
      </w:r>
      <w:r w:rsidRPr="00305B75">
        <w:rPr>
          <w:rFonts w:cs="Arial" w:hint="cs"/>
          <w:rtl/>
        </w:rPr>
        <w:t>نوید</w:t>
      </w:r>
      <w:r w:rsidRPr="00305B75">
        <w:rPr>
          <w:rFonts w:cs="Arial"/>
          <w:rtl/>
        </w:rPr>
        <w:t xml:space="preserve"> </w:t>
      </w:r>
      <w:r w:rsidRPr="00305B75">
        <w:rPr>
          <w:rFonts w:cs="Arial" w:hint="cs"/>
          <w:rtl/>
        </w:rPr>
        <w:t>به</w:t>
      </w:r>
      <w:r w:rsidRPr="00305B75">
        <w:rPr>
          <w:rFonts w:cs="Arial"/>
          <w:rtl/>
        </w:rPr>
        <w:t xml:space="preserve"> </w:t>
      </w:r>
      <w:r w:rsidRPr="00305B75">
        <w:rPr>
          <w:rFonts w:cs="Arial" w:hint="cs"/>
          <w:rtl/>
        </w:rPr>
        <w:t>سوی</w:t>
      </w:r>
      <w:r w:rsidRPr="00305B75">
        <w:rPr>
          <w:rFonts w:cs="Arial"/>
          <w:rtl/>
        </w:rPr>
        <w:t xml:space="preserve"> </w:t>
      </w:r>
      <w:r w:rsidRPr="00305B75">
        <w:rPr>
          <w:rFonts w:cs="Arial" w:hint="cs"/>
          <w:rtl/>
        </w:rPr>
        <w:t>منابع</w:t>
      </w:r>
      <w:r w:rsidRPr="00305B75">
        <w:rPr>
          <w:rFonts w:cs="Arial"/>
          <w:rtl/>
        </w:rPr>
        <w:t xml:space="preserve"> </w:t>
      </w:r>
      <w:r w:rsidRPr="00305B75">
        <w:rPr>
          <w:rFonts w:cs="Arial" w:hint="cs"/>
          <w:rtl/>
        </w:rPr>
        <w:t>تجدیدپذیر</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پایه</w:t>
      </w:r>
      <w:r w:rsidRPr="00305B75">
        <w:rPr>
          <w:rFonts w:cs="Arial"/>
          <w:rtl/>
        </w:rPr>
        <w:t xml:space="preserve"> </w:t>
      </w:r>
      <w:r w:rsidRPr="00305B75">
        <w:rPr>
          <w:rFonts w:cs="Arial" w:hint="cs"/>
          <w:rtl/>
        </w:rPr>
        <w:t>انرژی</w:t>
      </w:r>
      <w:r w:rsidRPr="00305B75">
        <w:rPr>
          <w:rFonts w:cs="Arial"/>
          <w:rtl/>
        </w:rPr>
        <w:t xml:space="preserve"> </w:t>
      </w:r>
      <w:r w:rsidRPr="00305B75">
        <w:rPr>
          <w:rFonts w:cs="Arial" w:hint="cs"/>
          <w:rtl/>
        </w:rPr>
        <w:t>جامعه،</w:t>
      </w:r>
      <w:r w:rsidRPr="00305B75">
        <w:rPr>
          <w:rFonts w:cs="Arial"/>
          <w:rtl/>
        </w:rPr>
        <w:t xml:space="preserve"> </w:t>
      </w:r>
      <w:r w:rsidRPr="00305B75">
        <w:rPr>
          <w:rFonts w:cs="Arial" w:hint="cs"/>
          <w:rtl/>
        </w:rPr>
        <w:t>چالش</w:t>
      </w:r>
      <w:r w:rsidRPr="00305B75">
        <w:rPr>
          <w:rFonts w:cs="Arial"/>
          <w:rtl/>
        </w:rPr>
        <w:t xml:space="preserve"> </w:t>
      </w:r>
      <w:r w:rsidRPr="00305B75">
        <w:rPr>
          <w:rFonts w:cs="Arial" w:hint="cs"/>
          <w:rtl/>
        </w:rPr>
        <w:t>های</w:t>
      </w:r>
      <w:r w:rsidRPr="00305B75">
        <w:rPr>
          <w:rFonts w:cs="Arial"/>
          <w:rtl/>
        </w:rPr>
        <w:t xml:space="preserve"> </w:t>
      </w:r>
      <w:r w:rsidRPr="00305B75">
        <w:rPr>
          <w:rFonts w:cs="Arial" w:hint="cs"/>
          <w:rtl/>
        </w:rPr>
        <w:t>جدیدی</w:t>
      </w:r>
      <w:r w:rsidRPr="00305B75">
        <w:rPr>
          <w:rFonts w:cs="Arial"/>
          <w:rtl/>
        </w:rPr>
        <w:t xml:space="preserve"> </w:t>
      </w:r>
      <w:r w:rsidRPr="00305B75">
        <w:rPr>
          <w:rFonts w:cs="Arial" w:hint="cs"/>
          <w:rtl/>
        </w:rPr>
        <w:t>را</w:t>
      </w:r>
      <w:r w:rsidRPr="00305B75">
        <w:rPr>
          <w:rFonts w:cs="Arial"/>
          <w:rtl/>
        </w:rPr>
        <w:t xml:space="preserve"> </w:t>
      </w:r>
      <w:r w:rsidRPr="00305B75">
        <w:rPr>
          <w:rFonts w:cs="Arial" w:hint="cs"/>
          <w:rtl/>
        </w:rPr>
        <w:t>نه</w:t>
      </w:r>
      <w:r w:rsidRPr="00305B75">
        <w:rPr>
          <w:rFonts w:cs="Arial"/>
          <w:rtl/>
        </w:rPr>
        <w:t xml:space="preserve"> </w:t>
      </w:r>
      <w:r w:rsidRPr="00305B75">
        <w:rPr>
          <w:rFonts w:cs="Arial" w:hint="cs"/>
          <w:rtl/>
        </w:rPr>
        <w:t>تنها</w:t>
      </w:r>
      <w:r w:rsidRPr="00305B75">
        <w:rPr>
          <w:rFonts w:cs="Arial"/>
          <w:rtl/>
        </w:rPr>
        <w:t xml:space="preserve"> </w:t>
      </w:r>
      <w:r w:rsidRPr="00305B75">
        <w:rPr>
          <w:rFonts w:cs="Arial" w:hint="cs"/>
          <w:rtl/>
        </w:rPr>
        <w:t>برای</w:t>
      </w:r>
      <w:r w:rsidRPr="00305B75">
        <w:rPr>
          <w:rFonts w:cs="Arial"/>
          <w:rtl/>
        </w:rPr>
        <w:t xml:space="preserve"> </w:t>
      </w:r>
      <w:r w:rsidRPr="00305B75">
        <w:rPr>
          <w:rFonts w:cs="Arial" w:hint="cs"/>
          <w:rtl/>
        </w:rPr>
        <w:t>سیستم</w:t>
      </w:r>
      <w:r w:rsidRPr="00305B75">
        <w:rPr>
          <w:rFonts w:cs="Arial"/>
          <w:rtl/>
        </w:rPr>
        <w:t xml:space="preserve"> </w:t>
      </w:r>
      <w:r w:rsidRPr="00305B75">
        <w:rPr>
          <w:rFonts w:cs="Arial" w:hint="cs"/>
          <w:rtl/>
        </w:rPr>
        <w:t>های</w:t>
      </w:r>
      <w:r w:rsidRPr="00305B75">
        <w:rPr>
          <w:rFonts w:cs="Arial"/>
          <w:rtl/>
        </w:rPr>
        <w:t xml:space="preserve"> </w:t>
      </w:r>
      <w:r w:rsidRPr="00305B75">
        <w:rPr>
          <w:rFonts w:cs="Arial" w:hint="cs"/>
          <w:rtl/>
        </w:rPr>
        <w:t>زیربنایی</w:t>
      </w:r>
      <w:r w:rsidRPr="00305B75">
        <w:rPr>
          <w:rFonts w:cs="Arial"/>
          <w:rtl/>
        </w:rPr>
        <w:t xml:space="preserve"> </w:t>
      </w:r>
      <w:r w:rsidRPr="00305B75">
        <w:rPr>
          <w:rFonts w:cs="Arial" w:hint="cs"/>
          <w:rtl/>
        </w:rPr>
        <w:t>آسیب</w:t>
      </w:r>
      <w:r w:rsidRPr="00305B75">
        <w:rPr>
          <w:rFonts w:cs="Arial"/>
          <w:rtl/>
        </w:rPr>
        <w:t xml:space="preserve"> </w:t>
      </w:r>
      <w:r w:rsidRPr="00305B75">
        <w:rPr>
          <w:rFonts w:cs="Arial" w:hint="cs"/>
          <w:rtl/>
        </w:rPr>
        <w:t>دیده،</w:t>
      </w:r>
      <w:r w:rsidRPr="00305B75">
        <w:rPr>
          <w:rFonts w:cs="Arial"/>
          <w:rtl/>
        </w:rPr>
        <w:t xml:space="preserve"> </w:t>
      </w:r>
      <w:r w:rsidRPr="00305B75">
        <w:rPr>
          <w:rFonts w:cs="Arial" w:hint="cs"/>
          <w:rtl/>
        </w:rPr>
        <w:t>بلکه</w:t>
      </w:r>
      <w:r w:rsidRPr="00305B75">
        <w:rPr>
          <w:rFonts w:cs="Arial"/>
          <w:rtl/>
        </w:rPr>
        <w:t xml:space="preserve"> </w:t>
      </w:r>
      <w:r w:rsidRPr="00305B75">
        <w:rPr>
          <w:rFonts w:cs="Arial" w:hint="cs"/>
          <w:rtl/>
        </w:rPr>
        <w:t>همچنین</w:t>
      </w:r>
      <w:r w:rsidRPr="00305B75">
        <w:rPr>
          <w:rFonts w:cs="Arial"/>
          <w:rtl/>
        </w:rPr>
        <w:t xml:space="preserve"> </w:t>
      </w:r>
      <w:r w:rsidRPr="00305B75">
        <w:rPr>
          <w:rFonts w:cs="Arial" w:hint="cs"/>
          <w:rtl/>
        </w:rPr>
        <w:t>برای</w:t>
      </w:r>
      <w:r w:rsidRPr="00305B75">
        <w:rPr>
          <w:rFonts w:cs="Arial"/>
          <w:rtl/>
        </w:rPr>
        <w:t xml:space="preserve"> </w:t>
      </w:r>
      <w:r w:rsidRPr="00305B75">
        <w:rPr>
          <w:rFonts w:cs="Arial" w:hint="cs"/>
          <w:rtl/>
        </w:rPr>
        <w:t>برنامه</w:t>
      </w:r>
      <w:r w:rsidRPr="00305B75">
        <w:rPr>
          <w:rFonts w:cs="Arial"/>
          <w:rtl/>
        </w:rPr>
        <w:t xml:space="preserve"> </w:t>
      </w:r>
      <w:r w:rsidRPr="00305B75">
        <w:rPr>
          <w:rFonts w:cs="Arial" w:hint="cs"/>
          <w:rtl/>
        </w:rPr>
        <w:t>ریزی</w:t>
      </w:r>
      <w:r w:rsidRPr="00305B75">
        <w:rPr>
          <w:rFonts w:cs="Arial"/>
          <w:rtl/>
        </w:rPr>
        <w:t xml:space="preserve"> </w:t>
      </w:r>
      <w:r w:rsidRPr="00305B75">
        <w:rPr>
          <w:rFonts w:cs="Arial" w:hint="cs"/>
          <w:rtl/>
        </w:rPr>
        <w:t>فضایی</w:t>
      </w:r>
      <w:r w:rsidRPr="00305B75">
        <w:rPr>
          <w:rFonts w:cs="Arial"/>
          <w:rtl/>
        </w:rPr>
        <w:t xml:space="preserve"> </w:t>
      </w:r>
      <w:r w:rsidRPr="00305B75">
        <w:rPr>
          <w:rFonts w:cs="Arial" w:hint="cs"/>
          <w:rtl/>
        </w:rPr>
        <w:t>ایجاد</w:t>
      </w:r>
      <w:r w:rsidRPr="00305B75">
        <w:rPr>
          <w:rFonts w:cs="Arial"/>
          <w:rtl/>
        </w:rPr>
        <w:t xml:space="preserve"> </w:t>
      </w:r>
      <w:r w:rsidRPr="00305B75">
        <w:rPr>
          <w:rFonts w:cs="Arial" w:hint="cs"/>
          <w:rtl/>
        </w:rPr>
        <w:t>خواهد</w:t>
      </w:r>
      <w:r w:rsidRPr="00305B75">
        <w:rPr>
          <w:rFonts w:cs="Arial"/>
          <w:rtl/>
        </w:rPr>
        <w:t xml:space="preserve"> </w:t>
      </w:r>
      <w:r w:rsidRPr="00305B75">
        <w:rPr>
          <w:rFonts w:cs="Arial" w:hint="cs"/>
          <w:rtl/>
        </w:rPr>
        <w:t>کرد</w:t>
      </w:r>
      <w:r w:rsidRPr="00305B75">
        <w:rPr>
          <w:rFonts w:cs="Arial"/>
          <w:rtl/>
        </w:rPr>
        <w:t xml:space="preserve">. </w:t>
      </w:r>
      <w:r w:rsidRPr="00305B75">
        <w:rPr>
          <w:rFonts w:cs="Arial" w:hint="cs"/>
          <w:rtl/>
        </w:rPr>
        <w:t>این</w:t>
      </w:r>
      <w:r w:rsidRPr="00305B75">
        <w:rPr>
          <w:rFonts w:cs="Arial"/>
          <w:rtl/>
        </w:rPr>
        <w:t xml:space="preserve"> </w:t>
      </w:r>
      <w:r w:rsidRPr="00305B75">
        <w:rPr>
          <w:rFonts w:cs="Arial" w:hint="cs"/>
          <w:rtl/>
        </w:rPr>
        <w:t>تأثیرات</w:t>
      </w:r>
      <w:r w:rsidRPr="00305B75">
        <w:rPr>
          <w:rFonts w:cs="Arial"/>
          <w:rtl/>
        </w:rPr>
        <w:t xml:space="preserve"> </w:t>
      </w:r>
      <w:r w:rsidRPr="00305B75">
        <w:rPr>
          <w:rFonts w:cs="Arial" w:hint="cs"/>
          <w:rtl/>
        </w:rPr>
        <w:t>به</w:t>
      </w:r>
      <w:r w:rsidRPr="00305B75">
        <w:rPr>
          <w:rFonts w:cs="Arial"/>
          <w:rtl/>
        </w:rPr>
        <w:t xml:space="preserve"> </w:t>
      </w:r>
      <w:r w:rsidRPr="00305B75">
        <w:rPr>
          <w:rFonts w:cs="Arial" w:hint="cs"/>
          <w:rtl/>
        </w:rPr>
        <w:t>علت</w:t>
      </w:r>
      <w:r w:rsidRPr="00305B75">
        <w:rPr>
          <w:rFonts w:cs="Arial"/>
          <w:rtl/>
        </w:rPr>
        <w:t xml:space="preserve"> </w:t>
      </w:r>
      <w:r w:rsidRPr="00305B75">
        <w:rPr>
          <w:rFonts w:cs="Arial" w:hint="cs"/>
          <w:rtl/>
        </w:rPr>
        <w:t>ماهیت</w:t>
      </w:r>
      <w:r w:rsidRPr="00305B75">
        <w:rPr>
          <w:rFonts w:cs="Arial"/>
          <w:rtl/>
        </w:rPr>
        <w:t xml:space="preserve"> </w:t>
      </w:r>
      <w:r w:rsidRPr="00305B75">
        <w:rPr>
          <w:rFonts w:cs="Arial" w:hint="cs"/>
          <w:rtl/>
        </w:rPr>
        <w:t>منابع</w:t>
      </w:r>
      <w:r w:rsidRPr="00305B75">
        <w:rPr>
          <w:rFonts w:cs="Arial"/>
          <w:rtl/>
        </w:rPr>
        <w:t xml:space="preserve"> </w:t>
      </w:r>
      <w:r w:rsidRPr="00305B75">
        <w:rPr>
          <w:rFonts w:cs="Arial" w:hint="cs"/>
          <w:rtl/>
        </w:rPr>
        <w:t>قابل</w:t>
      </w:r>
      <w:r w:rsidRPr="00305B75">
        <w:rPr>
          <w:rFonts w:cs="Arial"/>
          <w:rtl/>
        </w:rPr>
        <w:t xml:space="preserve"> </w:t>
      </w:r>
      <w:r w:rsidRPr="00305B75">
        <w:rPr>
          <w:rFonts w:cs="Arial" w:hint="cs"/>
          <w:rtl/>
        </w:rPr>
        <w:t>احیاء،</w:t>
      </w:r>
      <w:r w:rsidRPr="00305B75">
        <w:rPr>
          <w:rFonts w:cs="Arial"/>
          <w:rtl/>
        </w:rPr>
        <w:t xml:space="preserve"> </w:t>
      </w:r>
      <w:r w:rsidRPr="00305B75">
        <w:rPr>
          <w:rFonts w:cs="Arial" w:hint="cs"/>
          <w:rtl/>
        </w:rPr>
        <w:t>به</w:t>
      </w:r>
      <w:r w:rsidRPr="00305B75">
        <w:rPr>
          <w:rFonts w:cs="Arial"/>
          <w:rtl/>
        </w:rPr>
        <w:t xml:space="preserve"> </w:t>
      </w:r>
      <w:r w:rsidRPr="00305B75">
        <w:rPr>
          <w:rFonts w:cs="Arial" w:hint="cs"/>
          <w:rtl/>
        </w:rPr>
        <w:t>خصوص</w:t>
      </w:r>
      <w:r w:rsidRPr="00305B75">
        <w:rPr>
          <w:rFonts w:cs="Arial"/>
          <w:rtl/>
        </w:rPr>
        <w:t xml:space="preserve"> </w:t>
      </w:r>
      <w:r w:rsidRPr="00305B75">
        <w:rPr>
          <w:rFonts w:cs="Arial" w:hint="cs"/>
          <w:rtl/>
        </w:rPr>
        <w:t>منابع</w:t>
      </w:r>
      <w:r w:rsidRPr="00305B75">
        <w:rPr>
          <w:rFonts w:cs="Arial"/>
          <w:rtl/>
        </w:rPr>
        <w:t xml:space="preserve"> </w:t>
      </w:r>
      <w:r w:rsidRPr="00305B75">
        <w:rPr>
          <w:rFonts w:cs="Arial" w:hint="cs"/>
          <w:rtl/>
        </w:rPr>
        <w:t>مبتنی</w:t>
      </w:r>
      <w:r w:rsidRPr="00305B75">
        <w:rPr>
          <w:rFonts w:cs="Arial"/>
          <w:rtl/>
        </w:rPr>
        <w:t xml:space="preserve"> </w:t>
      </w:r>
      <w:r w:rsidRPr="00305B75">
        <w:rPr>
          <w:rFonts w:cs="Arial" w:hint="cs"/>
          <w:rtl/>
        </w:rPr>
        <w:t>بر</w:t>
      </w:r>
      <w:r w:rsidRPr="00305B75">
        <w:rPr>
          <w:rFonts w:cs="Arial"/>
          <w:rtl/>
        </w:rPr>
        <w:t xml:space="preserve"> </w:t>
      </w:r>
      <w:r w:rsidRPr="00305B75">
        <w:rPr>
          <w:rFonts w:cs="Arial" w:hint="cs"/>
          <w:rtl/>
        </w:rPr>
        <w:t>زیست</w:t>
      </w:r>
      <w:r w:rsidRPr="00305B75">
        <w:rPr>
          <w:rFonts w:cs="Arial"/>
          <w:rtl/>
        </w:rPr>
        <w:t xml:space="preserve"> </w:t>
      </w:r>
      <w:r w:rsidRPr="00305B75">
        <w:rPr>
          <w:rFonts w:cs="Arial" w:hint="cs"/>
          <w:rtl/>
        </w:rPr>
        <w:t>توده</w:t>
      </w:r>
      <w:r w:rsidRPr="00305B75">
        <w:rPr>
          <w:rFonts w:cs="Arial"/>
          <w:rtl/>
        </w:rPr>
        <w:t xml:space="preserve"> </w:t>
      </w:r>
      <w:r w:rsidRPr="00305B75">
        <w:rPr>
          <w:rFonts w:cs="Arial" w:hint="cs"/>
          <w:rtl/>
        </w:rPr>
        <w:t>است</w:t>
      </w:r>
      <w:r w:rsidRPr="00305B75">
        <w:rPr>
          <w:rFonts w:cs="Arial"/>
          <w:rtl/>
        </w:rPr>
        <w:t xml:space="preserve"> </w:t>
      </w:r>
      <w:r w:rsidRPr="00305B75">
        <w:rPr>
          <w:rFonts w:cs="Arial" w:hint="cs"/>
          <w:rtl/>
        </w:rPr>
        <w:t>که</w:t>
      </w:r>
      <w:r w:rsidRPr="00305B75">
        <w:rPr>
          <w:rFonts w:cs="Arial"/>
          <w:rtl/>
        </w:rPr>
        <w:t xml:space="preserve"> </w:t>
      </w:r>
      <w:r w:rsidRPr="00305B75">
        <w:rPr>
          <w:rFonts w:cs="Arial" w:hint="cs"/>
          <w:rtl/>
        </w:rPr>
        <w:t>مشخص</w:t>
      </w:r>
      <w:r w:rsidRPr="00305B75">
        <w:rPr>
          <w:rFonts w:cs="Arial"/>
          <w:rtl/>
        </w:rPr>
        <w:t xml:space="preserve"> </w:t>
      </w:r>
      <w:r w:rsidRPr="00305B75">
        <w:rPr>
          <w:rFonts w:cs="Arial" w:hint="cs"/>
          <w:rtl/>
        </w:rPr>
        <w:t>می</w:t>
      </w:r>
      <w:r w:rsidRPr="00305B75">
        <w:rPr>
          <w:rFonts w:cs="Arial"/>
          <w:rtl/>
        </w:rPr>
        <w:t xml:space="preserve"> </w:t>
      </w:r>
      <w:r w:rsidRPr="00305B75">
        <w:rPr>
          <w:rFonts w:cs="Arial" w:hint="cs"/>
          <w:rtl/>
        </w:rPr>
        <w:t>شود،</w:t>
      </w:r>
      <w:r w:rsidRPr="00305B75">
        <w:rPr>
          <w:rFonts w:cs="Arial"/>
          <w:rtl/>
        </w:rPr>
        <w:t xml:space="preserve"> </w:t>
      </w:r>
      <w:r w:rsidRPr="00305B75">
        <w:rPr>
          <w:rFonts w:cs="Arial" w:hint="cs"/>
          <w:rtl/>
        </w:rPr>
        <w:t>از</w:t>
      </w:r>
      <w:r w:rsidRPr="00305B75">
        <w:rPr>
          <w:rFonts w:cs="Arial"/>
          <w:rtl/>
        </w:rPr>
        <w:t xml:space="preserve"> </w:t>
      </w:r>
      <w:r w:rsidRPr="00305B75">
        <w:rPr>
          <w:rFonts w:cs="Arial" w:hint="cs"/>
          <w:rtl/>
        </w:rPr>
        <w:t>جمله</w:t>
      </w:r>
      <w:r w:rsidRPr="00305B75">
        <w:rPr>
          <w:rFonts w:cs="Arial"/>
          <w:rtl/>
        </w:rPr>
        <w:t xml:space="preserve"> </w:t>
      </w:r>
      <w:r w:rsidRPr="00305B75">
        <w:rPr>
          <w:rFonts w:cs="Arial" w:hint="cs"/>
          <w:rtl/>
        </w:rPr>
        <w:t>چگالی</w:t>
      </w:r>
      <w:r w:rsidRPr="00305B75">
        <w:rPr>
          <w:rFonts w:cs="Arial"/>
          <w:rtl/>
        </w:rPr>
        <w:t xml:space="preserve"> </w:t>
      </w:r>
      <w:r w:rsidRPr="00305B75">
        <w:rPr>
          <w:rFonts w:cs="Arial" w:hint="cs"/>
          <w:rtl/>
        </w:rPr>
        <w:t>حمل</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نقل</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دوام</w:t>
      </w:r>
      <w:r w:rsidRPr="00305B75">
        <w:rPr>
          <w:rFonts w:cs="Arial"/>
          <w:rtl/>
        </w:rPr>
        <w:t xml:space="preserve"> </w:t>
      </w:r>
      <w:r w:rsidRPr="00305B75">
        <w:rPr>
          <w:rFonts w:cs="Arial" w:hint="cs"/>
          <w:rtl/>
        </w:rPr>
        <w:t>کوتاه</w:t>
      </w:r>
      <w:r w:rsidRPr="00305B75">
        <w:rPr>
          <w:rFonts w:cs="Arial"/>
          <w:rtl/>
        </w:rPr>
        <w:t xml:space="preserve"> </w:t>
      </w:r>
      <w:r w:rsidRPr="00305B75">
        <w:rPr>
          <w:rFonts w:cs="Arial" w:hint="cs"/>
          <w:rtl/>
        </w:rPr>
        <w:t>در</w:t>
      </w:r>
      <w:r w:rsidRPr="00305B75">
        <w:rPr>
          <w:rFonts w:cs="Arial"/>
          <w:rtl/>
        </w:rPr>
        <w:t xml:space="preserve"> </w:t>
      </w:r>
      <w:r w:rsidRPr="00305B75">
        <w:rPr>
          <w:rFonts w:cs="Arial" w:hint="cs"/>
          <w:rtl/>
        </w:rPr>
        <w:t>صورت</w:t>
      </w:r>
      <w:r w:rsidRPr="00305B75">
        <w:rPr>
          <w:rFonts w:cs="Arial"/>
          <w:rtl/>
        </w:rPr>
        <w:t xml:space="preserve"> </w:t>
      </w:r>
      <w:r w:rsidRPr="00305B75">
        <w:rPr>
          <w:rFonts w:cs="Arial" w:hint="cs"/>
          <w:rtl/>
        </w:rPr>
        <w:t>عدم</w:t>
      </w:r>
      <w:r w:rsidRPr="00305B75">
        <w:rPr>
          <w:rFonts w:cs="Arial"/>
          <w:rtl/>
        </w:rPr>
        <w:t xml:space="preserve"> </w:t>
      </w:r>
      <w:r w:rsidRPr="00305B75">
        <w:rPr>
          <w:rFonts w:cs="Arial" w:hint="cs"/>
          <w:rtl/>
        </w:rPr>
        <w:t>پردازش</w:t>
      </w:r>
      <w:r w:rsidRPr="00305B75">
        <w:rPr>
          <w:rFonts w:cs="Arial"/>
          <w:rtl/>
        </w:rPr>
        <w:t xml:space="preserve">. </w:t>
      </w:r>
      <w:r w:rsidRPr="00305B75">
        <w:rPr>
          <w:rFonts w:cs="Arial" w:hint="cs"/>
          <w:rtl/>
        </w:rPr>
        <w:t>طراحی</w:t>
      </w:r>
      <w:r w:rsidRPr="00305B75">
        <w:rPr>
          <w:rFonts w:cs="Arial"/>
          <w:rtl/>
        </w:rPr>
        <w:t xml:space="preserve"> </w:t>
      </w:r>
      <w:r w:rsidRPr="00305B75">
        <w:rPr>
          <w:rFonts w:cs="Arial" w:hint="cs"/>
          <w:rtl/>
        </w:rPr>
        <w:t>زنجیره</w:t>
      </w:r>
      <w:r w:rsidRPr="00305B75">
        <w:rPr>
          <w:rFonts w:cs="Arial"/>
          <w:rtl/>
        </w:rPr>
        <w:t xml:space="preserve"> </w:t>
      </w:r>
      <w:r w:rsidRPr="00305B75">
        <w:rPr>
          <w:rFonts w:cs="Arial" w:hint="cs"/>
          <w:rtl/>
        </w:rPr>
        <w:t>های</w:t>
      </w:r>
      <w:r w:rsidRPr="00305B75">
        <w:rPr>
          <w:rFonts w:cs="Arial"/>
          <w:rtl/>
        </w:rPr>
        <w:t xml:space="preserve"> </w:t>
      </w:r>
      <w:r w:rsidRPr="00305B75">
        <w:rPr>
          <w:rFonts w:cs="Arial" w:hint="cs"/>
          <w:rtl/>
        </w:rPr>
        <w:t>تأمین</w:t>
      </w:r>
      <w:r w:rsidRPr="00305B75">
        <w:rPr>
          <w:rFonts w:cs="Arial"/>
          <w:rtl/>
        </w:rPr>
        <w:t xml:space="preserve"> </w:t>
      </w:r>
      <w:r w:rsidRPr="00305B75">
        <w:rPr>
          <w:rFonts w:cs="Arial" w:hint="cs"/>
          <w:rtl/>
        </w:rPr>
        <w:t>قابل</w:t>
      </w:r>
      <w:r w:rsidRPr="00305B75">
        <w:rPr>
          <w:rFonts w:cs="Arial"/>
          <w:rtl/>
        </w:rPr>
        <w:t xml:space="preserve"> </w:t>
      </w:r>
      <w:r w:rsidRPr="00305B75">
        <w:rPr>
          <w:rFonts w:cs="Arial" w:hint="cs"/>
          <w:rtl/>
        </w:rPr>
        <w:t>اطمینان</w:t>
      </w:r>
      <w:r w:rsidRPr="00305B75">
        <w:rPr>
          <w:rFonts w:cs="Arial"/>
          <w:rtl/>
        </w:rPr>
        <w:t xml:space="preserve"> </w:t>
      </w:r>
      <w:r w:rsidRPr="00305B75">
        <w:rPr>
          <w:rFonts w:cs="Arial" w:hint="cs"/>
          <w:rtl/>
        </w:rPr>
        <w:t>در</w:t>
      </w:r>
      <w:r w:rsidRPr="00305B75">
        <w:rPr>
          <w:rFonts w:cs="Arial"/>
          <w:rtl/>
        </w:rPr>
        <w:t xml:space="preserve"> </w:t>
      </w:r>
      <w:r w:rsidRPr="00305B75">
        <w:rPr>
          <w:rFonts w:cs="Arial" w:hint="cs"/>
          <w:rtl/>
        </w:rPr>
        <w:t>اطراف</w:t>
      </w:r>
      <w:r w:rsidRPr="00305B75">
        <w:rPr>
          <w:rFonts w:cs="Arial"/>
          <w:rtl/>
        </w:rPr>
        <w:t xml:space="preserve"> </w:t>
      </w:r>
      <w:r w:rsidRPr="00305B75">
        <w:rPr>
          <w:rFonts w:cs="Arial" w:hint="cs"/>
          <w:rtl/>
        </w:rPr>
        <w:t>منابع</w:t>
      </w:r>
      <w:r w:rsidRPr="00305B75">
        <w:rPr>
          <w:rFonts w:cs="Arial"/>
          <w:rtl/>
        </w:rPr>
        <w:t xml:space="preserve"> </w:t>
      </w:r>
      <w:r w:rsidRPr="00305B75">
        <w:rPr>
          <w:rFonts w:cs="Arial" w:hint="cs"/>
          <w:rtl/>
        </w:rPr>
        <w:t>زیست</w:t>
      </w:r>
      <w:r w:rsidRPr="00305B75">
        <w:rPr>
          <w:rFonts w:cs="Arial"/>
          <w:rtl/>
        </w:rPr>
        <w:t xml:space="preserve"> </w:t>
      </w:r>
      <w:r w:rsidRPr="00305B75">
        <w:rPr>
          <w:rFonts w:cs="Arial" w:hint="cs"/>
          <w:rtl/>
        </w:rPr>
        <w:t>توده</w:t>
      </w:r>
      <w:r w:rsidRPr="00305B75">
        <w:rPr>
          <w:rFonts w:cs="Arial"/>
          <w:rtl/>
        </w:rPr>
        <w:t xml:space="preserve"> </w:t>
      </w:r>
      <w:r w:rsidRPr="00305B75">
        <w:rPr>
          <w:rFonts w:cs="Arial" w:hint="cs"/>
          <w:rtl/>
        </w:rPr>
        <w:t>به</w:t>
      </w:r>
      <w:r w:rsidRPr="00305B75">
        <w:rPr>
          <w:rFonts w:cs="Arial"/>
          <w:rtl/>
        </w:rPr>
        <w:t xml:space="preserve"> </w:t>
      </w:r>
      <w:r w:rsidRPr="00305B75">
        <w:rPr>
          <w:rFonts w:cs="Arial" w:hint="cs"/>
          <w:rtl/>
        </w:rPr>
        <w:t>معنای</w:t>
      </w:r>
      <w:r w:rsidRPr="00305B75">
        <w:rPr>
          <w:rFonts w:cs="Arial"/>
          <w:rtl/>
        </w:rPr>
        <w:t xml:space="preserve"> </w:t>
      </w:r>
      <w:r w:rsidRPr="00305B75">
        <w:rPr>
          <w:rFonts w:cs="Arial" w:hint="cs"/>
          <w:rtl/>
        </w:rPr>
        <w:t>ساختار</w:t>
      </w:r>
      <w:r w:rsidRPr="00305B75">
        <w:rPr>
          <w:rFonts w:cs="Arial"/>
          <w:rtl/>
        </w:rPr>
        <w:t xml:space="preserve"> </w:t>
      </w:r>
      <w:r w:rsidRPr="00305B75">
        <w:rPr>
          <w:rFonts w:cs="Arial" w:hint="cs"/>
          <w:rtl/>
        </w:rPr>
        <w:t>سازمان</w:t>
      </w:r>
      <w:r w:rsidRPr="00305B75">
        <w:rPr>
          <w:rFonts w:cs="Arial"/>
          <w:rtl/>
        </w:rPr>
        <w:t xml:space="preserve"> </w:t>
      </w:r>
      <w:r w:rsidRPr="00305B75">
        <w:rPr>
          <w:rFonts w:cs="Arial" w:hint="cs"/>
          <w:rtl/>
        </w:rPr>
        <w:t>فضایی</w:t>
      </w:r>
      <w:r w:rsidRPr="00305B75">
        <w:rPr>
          <w:rFonts w:cs="Arial"/>
          <w:rtl/>
        </w:rPr>
        <w:t xml:space="preserve"> </w:t>
      </w:r>
      <w:r w:rsidRPr="00305B75">
        <w:rPr>
          <w:rFonts w:cs="Arial" w:hint="cs"/>
          <w:rtl/>
        </w:rPr>
        <w:t>با</w:t>
      </w:r>
      <w:r w:rsidRPr="00305B75">
        <w:rPr>
          <w:rFonts w:cs="Arial"/>
          <w:rtl/>
        </w:rPr>
        <w:t xml:space="preserve"> </w:t>
      </w:r>
      <w:r w:rsidRPr="00305B75">
        <w:rPr>
          <w:rFonts w:cs="Arial" w:hint="cs"/>
          <w:rtl/>
        </w:rPr>
        <w:t>شیوه</w:t>
      </w:r>
      <w:r w:rsidRPr="00305B75">
        <w:rPr>
          <w:rFonts w:cs="Arial"/>
          <w:rtl/>
        </w:rPr>
        <w:t xml:space="preserve"> </w:t>
      </w:r>
      <w:r w:rsidRPr="00305B75">
        <w:rPr>
          <w:rFonts w:cs="Arial" w:hint="cs"/>
          <w:rtl/>
        </w:rPr>
        <w:t>ای</w:t>
      </w:r>
      <w:r w:rsidRPr="00305B75">
        <w:rPr>
          <w:rFonts w:cs="Arial"/>
          <w:rtl/>
        </w:rPr>
        <w:t xml:space="preserve"> </w:t>
      </w:r>
      <w:r w:rsidRPr="00305B75">
        <w:rPr>
          <w:rFonts w:cs="Arial" w:hint="cs"/>
          <w:rtl/>
        </w:rPr>
        <w:t>متفاوت</w:t>
      </w:r>
      <w:r w:rsidRPr="00305B75">
        <w:rPr>
          <w:rFonts w:cs="Arial"/>
          <w:rtl/>
        </w:rPr>
        <w:t xml:space="preserve"> </w:t>
      </w:r>
      <w:r w:rsidRPr="00305B75">
        <w:rPr>
          <w:rFonts w:cs="Arial" w:hint="cs"/>
          <w:rtl/>
        </w:rPr>
        <w:t>از</w:t>
      </w:r>
      <w:r w:rsidRPr="00305B75">
        <w:rPr>
          <w:rFonts w:cs="Arial"/>
          <w:rtl/>
        </w:rPr>
        <w:t xml:space="preserve"> </w:t>
      </w:r>
      <w:r w:rsidRPr="00305B75">
        <w:rPr>
          <w:rFonts w:cs="Arial" w:hint="cs"/>
          <w:rtl/>
        </w:rPr>
        <w:t>دلایل</w:t>
      </w:r>
      <w:r w:rsidRPr="00305B75">
        <w:rPr>
          <w:rFonts w:cs="Arial"/>
          <w:rtl/>
        </w:rPr>
        <w:t xml:space="preserve"> </w:t>
      </w:r>
      <w:r w:rsidRPr="00305B75">
        <w:rPr>
          <w:rFonts w:cs="Arial" w:hint="cs"/>
          <w:rtl/>
        </w:rPr>
        <w:t>برنامه</w:t>
      </w:r>
      <w:r w:rsidRPr="00305B75">
        <w:rPr>
          <w:rFonts w:cs="Arial"/>
          <w:rtl/>
        </w:rPr>
        <w:t xml:space="preserve"> </w:t>
      </w:r>
      <w:r w:rsidRPr="00305B75">
        <w:rPr>
          <w:rFonts w:cs="Arial" w:hint="cs"/>
          <w:rtl/>
        </w:rPr>
        <w:t>ریزی</w:t>
      </w:r>
      <w:r w:rsidRPr="00305B75">
        <w:rPr>
          <w:rFonts w:cs="Arial"/>
          <w:rtl/>
        </w:rPr>
        <w:t xml:space="preserve"> </w:t>
      </w:r>
      <w:r w:rsidRPr="00305B75">
        <w:rPr>
          <w:rFonts w:cs="Arial" w:hint="cs"/>
          <w:rtl/>
        </w:rPr>
        <w:t>شهری</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منطقه</w:t>
      </w:r>
      <w:r w:rsidRPr="00305B75">
        <w:rPr>
          <w:rFonts w:cs="Arial"/>
          <w:rtl/>
        </w:rPr>
        <w:t xml:space="preserve"> </w:t>
      </w:r>
      <w:r w:rsidRPr="00305B75">
        <w:rPr>
          <w:rFonts w:cs="Arial" w:hint="cs"/>
          <w:rtl/>
        </w:rPr>
        <w:t>ای</w:t>
      </w:r>
      <w:r w:rsidRPr="00305B75">
        <w:rPr>
          <w:rFonts w:cs="Arial"/>
          <w:rtl/>
        </w:rPr>
        <w:t xml:space="preserve"> </w:t>
      </w:r>
      <w:r w:rsidRPr="00305B75">
        <w:rPr>
          <w:rFonts w:cs="Arial" w:hint="cs"/>
          <w:rtl/>
        </w:rPr>
        <w:t>فراتر</w:t>
      </w:r>
      <w:r w:rsidRPr="00305B75">
        <w:rPr>
          <w:rFonts w:cs="Arial"/>
          <w:rtl/>
        </w:rPr>
        <w:t xml:space="preserve"> </w:t>
      </w:r>
      <w:r w:rsidRPr="00305B75">
        <w:rPr>
          <w:rFonts w:cs="Arial" w:hint="cs"/>
          <w:rtl/>
        </w:rPr>
        <w:t>از</w:t>
      </w:r>
      <w:r w:rsidRPr="00305B75">
        <w:rPr>
          <w:rFonts w:cs="Arial"/>
          <w:rtl/>
        </w:rPr>
        <w:t xml:space="preserve"> </w:t>
      </w:r>
      <w:r w:rsidRPr="00305B75">
        <w:rPr>
          <w:rFonts w:cs="Arial" w:hint="cs"/>
          <w:rtl/>
        </w:rPr>
        <w:t>زیرساخت</w:t>
      </w:r>
      <w:r w:rsidRPr="00305B75">
        <w:rPr>
          <w:rFonts w:cs="Arial"/>
          <w:rtl/>
        </w:rPr>
        <w:t xml:space="preserve"> </w:t>
      </w:r>
      <w:r w:rsidRPr="00305B75">
        <w:rPr>
          <w:rFonts w:cs="Arial" w:hint="cs"/>
          <w:rtl/>
        </w:rPr>
        <w:t>های</w:t>
      </w:r>
      <w:r w:rsidRPr="00305B75">
        <w:rPr>
          <w:rFonts w:cs="Arial"/>
          <w:rtl/>
        </w:rPr>
        <w:t xml:space="preserve"> </w:t>
      </w:r>
      <w:r w:rsidRPr="00305B75">
        <w:rPr>
          <w:rFonts w:cs="Arial" w:hint="cs"/>
          <w:rtl/>
        </w:rPr>
        <w:t>تأمین</w:t>
      </w:r>
      <w:r w:rsidRPr="00305B75">
        <w:rPr>
          <w:rFonts w:cs="Arial"/>
          <w:rtl/>
        </w:rPr>
        <w:t xml:space="preserve"> </w:t>
      </w:r>
      <w:r w:rsidRPr="00305B75">
        <w:rPr>
          <w:rFonts w:cs="Arial" w:hint="cs"/>
          <w:rtl/>
        </w:rPr>
        <w:t>است</w:t>
      </w:r>
      <w:r w:rsidRPr="00305B75">
        <w:rPr>
          <w:rFonts w:cs="Arial"/>
          <w:rtl/>
        </w:rPr>
        <w:t xml:space="preserve">. </w:t>
      </w:r>
      <w:r w:rsidRPr="00305B75">
        <w:rPr>
          <w:rFonts w:cs="Arial" w:hint="cs"/>
          <w:rtl/>
        </w:rPr>
        <w:t>با</w:t>
      </w:r>
      <w:r w:rsidRPr="00305B75">
        <w:rPr>
          <w:rFonts w:cs="Arial"/>
          <w:rtl/>
        </w:rPr>
        <w:t xml:space="preserve"> </w:t>
      </w:r>
      <w:r w:rsidRPr="00305B75">
        <w:rPr>
          <w:rFonts w:cs="Arial" w:hint="cs"/>
          <w:rtl/>
        </w:rPr>
        <w:t>در</w:t>
      </w:r>
      <w:r w:rsidRPr="00305B75">
        <w:rPr>
          <w:rFonts w:cs="Arial"/>
          <w:rtl/>
        </w:rPr>
        <w:t xml:space="preserve"> </w:t>
      </w:r>
      <w:r w:rsidRPr="00305B75">
        <w:rPr>
          <w:rFonts w:cs="Arial" w:hint="cs"/>
          <w:rtl/>
        </w:rPr>
        <w:t>نظر</w:t>
      </w:r>
      <w:r w:rsidRPr="00305B75">
        <w:rPr>
          <w:rFonts w:cs="Arial"/>
          <w:rtl/>
        </w:rPr>
        <w:t xml:space="preserve"> </w:t>
      </w:r>
      <w:r w:rsidRPr="00305B75">
        <w:rPr>
          <w:rFonts w:cs="Arial" w:hint="cs"/>
          <w:rtl/>
        </w:rPr>
        <w:t>گرفتن</w:t>
      </w:r>
      <w:r w:rsidRPr="00305B75">
        <w:rPr>
          <w:rFonts w:cs="Arial"/>
          <w:rtl/>
        </w:rPr>
        <w:t xml:space="preserve"> </w:t>
      </w:r>
      <w:r w:rsidRPr="00305B75">
        <w:rPr>
          <w:rFonts w:cs="Arial" w:hint="cs"/>
          <w:rtl/>
        </w:rPr>
        <w:t>ابعاد</w:t>
      </w:r>
      <w:r w:rsidRPr="00305B75">
        <w:rPr>
          <w:rFonts w:cs="Arial"/>
          <w:rtl/>
        </w:rPr>
        <w:t xml:space="preserve"> </w:t>
      </w:r>
      <w:r w:rsidRPr="00305B75">
        <w:rPr>
          <w:rFonts w:cs="Arial" w:hint="cs"/>
          <w:rtl/>
        </w:rPr>
        <w:t>فضایی</w:t>
      </w:r>
      <w:r w:rsidRPr="00305B75">
        <w:rPr>
          <w:rFonts w:cs="Arial"/>
          <w:rtl/>
        </w:rPr>
        <w:t xml:space="preserve"> </w:t>
      </w:r>
      <w:r w:rsidRPr="00305B75">
        <w:rPr>
          <w:rFonts w:cs="Arial" w:hint="cs"/>
          <w:rtl/>
        </w:rPr>
        <w:t>انتقال</w:t>
      </w:r>
      <w:r w:rsidRPr="00305B75">
        <w:rPr>
          <w:rFonts w:cs="Arial"/>
          <w:rtl/>
        </w:rPr>
        <w:t xml:space="preserve"> </w:t>
      </w:r>
      <w:r w:rsidRPr="00305B75">
        <w:rPr>
          <w:rFonts w:cs="Arial" w:hint="cs"/>
          <w:rtl/>
        </w:rPr>
        <w:t>به</w:t>
      </w:r>
      <w:r w:rsidRPr="00305B75">
        <w:rPr>
          <w:rFonts w:cs="Arial"/>
          <w:rtl/>
        </w:rPr>
        <w:t xml:space="preserve"> </w:t>
      </w:r>
      <w:r w:rsidRPr="00305B75">
        <w:rPr>
          <w:rFonts w:cs="Arial" w:hint="cs"/>
          <w:rtl/>
        </w:rPr>
        <w:t>سیستم</w:t>
      </w:r>
      <w:r w:rsidRPr="00305B75">
        <w:rPr>
          <w:rFonts w:cs="Arial"/>
          <w:rtl/>
        </w:rPr>
        <w:t xml:space="preserve"> </w:t>
      </w:r>
      <w:r w:rsidRPr="00305B75">
        <w:rPr>
          <w:rFonts w:cs="Arial" w:hint="cs"/>
          <w:rtl/>
        </w:rPr>
        <w:t>های</w:t>
      </w:r>
      <w:r w:rsidRPr="00305B75">
        <w:rPr>
          <w:rFonts w:cs="Arial"/>
          <w:rtl/>
        </w:rPr>
        <w:t xml:space="preserve"> </w:t>
      </w:r>
      <w:r w:rsidRPr="00305B75">
        <w:rPr>
          <w:rFonts w:cs="Arial" w:hint="cs"/>
          <w:rtl/>
        </w:rPr>
        <w:t>انرژی</w:t>
      </w:r>
      <w:r w:rsidRPr="00305B75">
        <w:rPr>
          <w:rFonts w:cs="Arial"/>
          <w:rtl/>
        </w:rPr>
        <w:t xml:space="preserve"> </w:t>
      </w:r>
      <w:r w:rsidRPr="00305B75">
        <w:rPr>
          <w:rFonts w:cs="Arial" w:hint="cs"/>
          <w:rtl/>
        </w:rPr>
        <w:t>پایدار،</w:t>
      </w:r>
      <w:r w:rsidRPr="00305B75">
        <w:rPr>
          <w:rFonts w:cs="Arial"/>
          <w:rtl/>
        </w:rPr>
        <w:t xml:space="preserve"> </w:t>
      </w:r>
      <w:r w:rsidRPr="00305B75">
        <w:rPr>
          <w:rFonts w:cs="Arial" w:hint="cs"/>
          <w:rtl/>
        </w:rPr>
        <w:t>چالش</w:t>
      </w:r>
      <w:r w:rsidRPr="00305B75">
        <w:rPr>
          <w:rFonts w:cs="Arial"/>
          <w:rtl/>
        </w:rPr>
        <w:t xml:space="preserve"> </w:t>
      </w:r>
      <w:r w:rsidRPr="00305B75">
        <w:rPr>
          <w:rFonts w:cs="Arial" w:hint="cs"/>
          <w:rtl/>
        </w:rPr>
        <w:t>های</w:t>
      </w:r>
      <w:r w:rsidRPr="00305B75">
        <w:rPr>
          <w:rFonts w:cs="Arial"/>
          <w:rtl/>
        </w:rPr>
        <w:t xml:space="preserve"> </w:t>
      </w:r>
      <w:r w:rsidRPr="00305B75">
        <w:rPr>
          <w:rFonts w:cs="Arial" w:hint="cs"/>
          <w:rtl/>
        </w:rPr>
        <w:t>عمده</w:t>
      </w:r>
      <w:r w:rsidRPr="00305B75">
        <w:rPr>
          <w:rFonts w:cs="Arial"/>
          <w:rtl/>
        </w:rPr>
        <w:t xml:space="preserve"> </w:t>
      </w:r>
      <w:r w:rsidRPr="00305B75">
        <w:rPr>
          <w:rFonts w:cs="Arial" w:hint="cs"/>
          <w:rtl/>
        </w:rPr>
        <w:t>بوجود</w:t>
      </w:r>
      <w:r w:rsidRPr="00305B75">
        <w:rPr>
          <w:rFonts w:cs="Arial"/>
          <w:rtl/>
        </w:rPr>
        <w:t xml:space="preserve"> </w:t>
      </w:r>
      <w:r w:rsidRPr="00305B75">
        <w:rPr>
          <w:rFonts w:cs="Arial" w:hint="cs"/>
          <w:rtl/>
        </w:rPr>
        <w:t>می</w:t>
      </w:r>
      <w:r w:rsidRPr="00305B75">
        <w:rPr>
          <w:rFonts w:cs="Arial"/>
          <w:rtl/>
        </w:rPr>
        <w:t xml:space="preserve"> </w:t>
      </w:r>
      <w:r w:rsidRPr="00305B75">
        <w:rPr>
          <w:rFonts w:cs="Arial" w:hint="cs"/>
          <w:rtl/>
        </w:rPr>
        <w:t>آیند</w:t>
      </w:r>
      <w:r w:rsidRPr="00305B75">
        <w:rPr>
          <w:rFonts w:cs="Arial"/>
          <w:rtl/>
        </w:rPr>
        <w:t xml:space="preserve"> (1) </w:t>
      </w:r>
      <w:r w:rsidRPr="00305B75">
        <w:rPr>
          <w:rFonts w:cs="Arial" w:hint="cs"/>
          <w:rtl/>
        </w:rPr>
        <w:t>در</w:t>
      </w:r>
      <w:r w:rsidRPr="00305B75">
        <w:rPr>
          <w:rFonts w:cs="Arial"/>
          <w:rtl/>
        </w:rPr>
        <w:t xml:space="preserve"> </w:t>
      </w:r>
      <w:r w:rsidRPr="00305B75">
        <w:rPr>
          <w:rFonts w:cs="Arial" w:hint="cs"/>
          <w:rtl/>
        </w:rPr>
        <w:t>کاهش</w:t>
      </w:r>
      <w:r w:rsidRPr="00305B75">
        <w:rPr>
          <w:rFonts w:cs="Arial"/>
          <w:rtl/>
        </w:rPr>
        <w:t xml:space="preserve"> </w:t>
      </w:r>
      <w:r w:rsidRPr="00305B75">
        <w:rPr>
          <w:rFonts w:cs="Arial" w:hint="cs"/>
          <w:rtl/>
        </w:rPr>
        <w:t>تقاضای</w:t>
      </w:r>
      <w:r w:rsidRPr="00305B75">
        <w:rPr>
          <w:rFonts w:cs="Arial"/>
          <w:rtl/>
        </w:rPr>
        <w:t xml:space="preserve"> </w:t>
      </w:r>
      <w:r w:rsidRPr="00305B75">
        <w:rPr>
          <w:rFonts w:cs="Arial" w:hint="cs"/>
          <w:rtl/>
        </w:rPr>
        <w:t>انرژی</w:t>
      </w:r>
      <w:r w:rsidRPr="00305B75">
        <w:rPr>
          <w:rFonts w:cs="Arial"/>
          <w:rtl/>
        </w:rPr>
        <w:t xml:space="preserve"> </w:t>
      </w:r>
      <w:r w:rsidRPr="00305B75">
        <w:rPr>
          <w:rFonts w:cs="Arial" w:hint="cs"/>
          <w:rtl/>
        </w:rPr>
        <w:t>با</w:t>
      </w:r>
      <w:r w:rsidRPr="00305B75">
        <w:rPr>
          <w:rFonts w:cs="Arial"/>
          <w:rtl/>
        </w:rPr>
        <w:t xml:space="preserve"> </w:t>
      </w:r>
      <w:r w:rsidRPr="00305B75">
        <w:rPr>
          <w:rFonts w:cs="Arial" w:hint="cs"/>
          <w:rtl/>
        </w:rPr>
        <w:t>طراحی</w:t>
      </w:r>
      <w:r w:rsidRPr="00305B75">
        <w:rPr>
          <w:rFonts w:cs="Arial"/>
          <w:rtl/>
        </w:rPr>
        <w:t xml:space="preserve"> </w:t>
      </w:r>
      <w:r w:rsidRPr="00305B75">
        <w:rPr>
          <w:rFonts w:cs="Arial" w:hint="cs"/>
          <w:rtl/>
        </w:rPr>
        <w:t>مجدد</w:t>
      </w:r>
      <w:r w:rsidRPr="00305B75">
        <w:rPr>
          <w:rFonts w:cs="Arial"/>
          <w:rtl/>
        </w:rPr>
        <w:t xml:space="preserve"> </w:t>
      </w:r>
      <w:r w:rsidRPr="00305B75">
        <w:rPr>
          <w:rFonts w:cs="Arial" w:hint="cs"/>
          <w:rtl/>
        </w:rPr>
        <w:t>شهرهای،</w:t>
      </w:r>
      <w:r w:rsidRPr="00305B75">
        <w:rPr>
          <w:rFonts w:cs="Arial"/>
          <w:rtl/>
        </w:rPr>
        <w:t xml:space="preserve"> </w:t>
      </w:r>
      <w:r w:rsidRPr="00305B75">
        <w:rPr>
          <w:rFonts w:cs="Arial" w:hint="cs"/>
          <w:rtl/>
        </w:rPr>
        <w:t>شهرها</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روستاها</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نیز</w:t>
      </w:r>
      <w:r w:rsidRPr="00305B75">
        <w:rPr>
          <w:rFonts w:cs="Arial"/>
          <w:rtl/>
        </w:rPr>
        <w:t xml:space="preserve"> </w:t>
      </w:r>
      <w:r w:rsidRPr="00305B75">
        <w:rPr>
          <w:rFonts w:cs="Arial" w:hint="cs"/>
          <w:rtl/>
        </w:rPr>
        <w:t>زیرساخت</w:t>
      </w:r>
      <w:r w:rsidRPr="00305B75">
        <w:rPr>
          <w:rFonts w:cs="Arial"/>
          <w:rtl/>
        </w:rPr>
        <w:t xml:space="preserve"> </w:t>
      </w:r>
      <w:r w:rsidRPr="00305B75">
        <w:rPr>
          <w:rFonts w:cs="Arial" w:hint="cs"/>
          <w:rtl/>
        </w:rPr>
        <w:t>های</w:t>
      </w:r>
      <w:r w:rsidRPr="00305B75">
        <w:rPr>
          <w:rFonts w:cs="Arial"/>
          <w:rtl/>
        </w:rPr>
        <w:t xml:space="preserve"> </w:t>
      </w:r>
      <w:r w:rsidRPr="00305B75">
        <w:rPr>
          <w:rFonts w:cs="Arial" w:hint="cs"/>
          <w:rtl/>
        </w:rPr>
        <w:t>مرتبط</w:t>
      </w:r>
      <w:r w:rsidRPr="00305B75">
        <w:rPr>
          <w:rFonts w:cs="Arial"/>
          <w:rtl/>
        </w:rPr>
        <w:t xml:space="preserve"> </w:t>
      </w:r>
      <w:r w:rsidRPr="00305B75">
        <w:rPr>
          <w:rFonts w:cs="Arial" w:hint="cs"/>
          <w:rtl/>
        </w:rPr>
        <w:t>با</w:t>
      </w:r>
      <w:r w:rsidRPr="00305B75">
        <w:rPr>
          <w:rFonts w:cs="Arial"/>
          <w:rtl/>
        </w:rPr>
        <w:t xml:space="preserve"> </w:t>
      </w:r>
      <w:r w:rsidRPr="00305B75">
        <w:rPr>
          <w:rFonts w:cs="Arial" w:hint="cs"/>
          <w:rtl/>
        </w:rPr>
        <w:t>آن</w:t>
      </w:r>
      <w:r w:rsidRPr="00305B75">
        <w:rPr>
          <w:rFonts w:cs="Arial"/>
          <w:rtl/>
        </w:rPr>
        <w:t xml:space="preserve"> </w:t>
      </w:r>
      <w:r w:rsidRPr="00305B75">
        <w:rPr>
          <w:rFonts w:cs="Arial" w:hint="cs"/>
          <w:rtl/>
        </w:rPr>
        <w:t>به</w:t>
      </w:r>
      <w:r w:rsidRPr="00305B75">
        <w:rPr>
          <w:rFonts w:cs="Arial"/>
          <w:rtl/>
        </w:rPr>
        <w:t xml:space="preserve"> </w:t>
      </w:r>
      <w:r w:rsidRPr="00305B75">
        <w:rPr>
          <w:rFonts w:cs="Arial" w:hint="cs"/>
          <w:rtl/>
        </w:rPr>
        <w:t>منظور</w:t>
      </w:r>
      <w:r w:rsidRPr="00305B75">
        <w:rPr>
          <w:rFonts w:cs="Arial"/>
          <w:rtl/>
        </w:rPr>
        <w:t xml:space="preserve"> </w:t>
      </w:r>
      <w:r w:rsidRPr="00305B75">
        <w:rPr>
          <w:rFonts w:cs="Arial" w:hint="cs"/>
          <w:rtl/>
        </w:rPr>
        <w:t>دستیابی</w:t>
      </w:r>
      <w:r w:rsidRPr="00305B75">
        <w:rPr>
          <w:rFonts w:cs="Arial"/>
          <w:rtl/>
        </w:rPr>
        <w:t xml:space="preserve"> </w:t>
      </w:r>
      <w:r w:rsidRPr="00305B75">
        <w:rPr>
          <w:rFonts w:cs="Arial" w:hint="cs"/>
          <w:rtl/>
        </w:rPr>
        <w:t>به،</w:t>
      </w:r>
      <w:r w:rsidRPr="00305B75">
        <w:rPr>
          <w:rFonts w:cs="Arial"/>
          <w:rtl/>
        </w:rPr>
        <w:t xml:space="preserve"> </w:t>
      </w:r>
      <w:r w:rsidRPr="00305B75">
        <w:rPr>
          <w:rFonts w:cs="Arial" w:hint="cs"/>
          <w:rtl/>
        </w:rPr>
        <w:t>واحدهای</w:t>
      </w:r>
      <w:r w:rsidRPr="00305B75">
        <w:rPr>
          <w:rFonts w:cs="Arial"/>
          <w:rtl/>
        </w:rPr>
        <w:t xml:space="preserve"> </w:t>
      </w:r>
      <w:r w:rsidRPr="00305B75">
        <w:rPr>
          <w:rFonts w:cs="Arial" w:hint="cs"/>
          <w:rtl/>
        </w:rPr>
        <w:t>چند</w:t>
      </w:r>
      <w:r w:rsidRPr="00305B75">
        <w:rPr>
          <w:rFonts w:cs="Arial"/>
          <w:rtl/>
        </w:rPr>
        <w:t xml:space="preserve"> </w:t>
      </w:r>
      <w:r w:rsidRPr="00305B75">
        <w:rPr>
          <w:rFonts w:cs="Arial" w:hint="cs"/>
          <w:rtl/>
        </w:rPr>
        <w:t>منظوره،</w:t>
      </w:r>
      <w:r w:rsidRPr="00305B75">
        <w:rPr>
          <w:rFonts w:cs="Arial"/>
          <w:rtl/>
        </w:rPr>
        <w:t xml:space="preserve"> </w:t>
      </w:r>
      <w:r w:rsidRPr="00305B75">
        <w:rPr>
          <w:rFonts w:cs="Arial" w:hint="cs"/>
          <w:rtl/>
        </w:rPr>
        <w:t>متراکم</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سازه</w:t>
      </w:r>
      <w:r w:rsidRPr="00305B75">
        <w:rPr>
          <w:rFonts w:cs="Arial"/>
          <w:rtl/>
        </w:rPr>
        <w:t xml:space="preserve"> </w:t>
      </w:r>
      <w:r w:rsidRPr="00305B75">
        <w:rPr>
          <w:rFonts w:cs="Arial" w:hint="cs"/>
          <w:rtl/>
        </w:rPr>
        <w:t>ای</w:t>
      </w:r>
      <w:r w:rsidRPr="00305B75">
        <w:rPr>
          <w:rFonts w:cs="Arial"/>
          <w:rtl/>
        </w:rPr>
        <w:t xml:space="preserve"> </w:t>
      </w:r>
      <w:r w:rsidRPr="00305B75">
        <w:rPr>
          <w:rFonts w:cs="Arial" w:hint="cs"/>
          <w:rtl/>
        </w:rPr>
        <w:t>با</w:t>
      </w:r>
      <w:r w:rsidRPr="00305B75">
        <w:rPr>
          <w:rFonts w:cs="Arial"/>
          <w:rtl/>
        </w:rPr>
        <w:t xml:space="preserve"> </w:t>
      </w:r>
      <w:r w:rsidRPr="00305B75">
        <w:rPr>
          <w:rFonts w:cs="Arial" w:hint="cs"/>
          <w:rtl/>
        </w:rPr>
        <w:t>صرفه</w:t>
      </w:r>
      <w:r w:rsidRPr="00305B75">
        <w:rPr>
          <w:rFonts w:cs="Arial"/>
          <w:rtl/>
        </w:rPr>
        <w:t xml:space="preserve"> </w:t>
      </w:r>
      <w:r w:rsidRPr="00305B75">
        <w:rPr>
          <w:rFonts w:cs="Arial" w:hint="cs"/>
          <w:rtl/>
        </w:rPr>
        <w:t>جویی</w:t>
      </w:r>
      <w:r w:rsidRPr="00305B75">
        <w:rPr>
          <w:rFonts w:cs="Arial"/>
          <w:rtl/>
        </w:rPr>
        <w:t xml:space="preserve"> </w:t>
      </w:r>
      <w:r w:rsidRPr="00305B75">
        <w:rPr>
          <w:rFonts w:cs="Arial" w:hint="cs"/>
          <w:rtl/>
        </w:rPr>
        <w:t>در</w:t>
      </w:r>
      <w:r w:rsidRPr="00305B75">
        <w:rPr>
          <w:rFonts w:cs="Arial"/>
          <w:rtl/>
        </w:rPr>
        <w:t xml:space="preserve"> </w:t>
      </w:r>
      <w:r w:rsidRPr="00305B75">
        <w:rPr>
          <w:rFonts w:cs="Arial" w:hint="cs"/>
          <w:rtl/>
        </w:rPr>
        <w:t>انرژی</w:t>
      </w:r>
      <w:r w:rsidRPr="00305B75">
        <w:rPr>
          <w:rFonts w:cs="Arial"/>
          <w:rtl/>
        </w:rPr>
        <w:t xml:space="preserve"> </w:t>
      </w:r>
      <w:r w:rsidRPr="00305B75">
        <w:rPr>
          <w:rFonts w:cs="Arial" w:hint="cs"/>
          <w:rtl/>
        </w:rPr>
        <w:t>که</w:t>
      </w:r>
      <w:r w:rsidRPr="00305B75">
        <w:rPr>
          <w:rFonts w:cs="Arial"/>
          <w:rtl/>
        </w:rPr>
        <w:t xml:space="preserve"> </w:t>
      </w:r>
      <w:r w:rsidRPr="00305B75">
        <w:rPr>
          <w:rFonts w:cs="Arial" w:hint="cs"/>
          <w:rtl/>
        </w:rPr>
        <w:t>به</w:t>
      </w:r>
      <w:r w:rsidRPr="00305B75">
        <w:rPr>
          <w:rFonts w:cs="Arial"/>
          <w:rtl/>
        </w:rPr>
        <w:t xml:space="preserve"> </w:t>
      </w:r>
      <w:r w:rsidRPr="00305B75">
        <w:rPr>
          <w:rFonts w:cs="Arial" w:hint="cs"/>
          <w:rtl/>
        </w:rPr>
        <w:t>سبک</w:t>
      </w:r>
      <w:r w:rsidRPr="00305B75">
        <w:rPr>
          <w:rFonts w:cs="Arial"/>
          <w:rtl/>
        </w:rPr>
        <w:t xml:space="preserve"> </w:t>
      </w:r>
      <w:r w:rsidRPr="00305B75">
        <w:rPr>
          <w:rFonts w:cs="Arial" w:hint="cs"/>
          <w:rtl/>
        </w:rPr>
        <w:t>زندگی</w:t>
      </w:r>
      <w:r w:rsidRPr="00305B75">
        <w:rPr>
          <w:rFonts w:cs="Arial"/>
          <w:rtl/>
        </w:rPr>
        <w:t xml:space="preserve"> </w:t>
      </w:r>
      <w:r w:rsidRPr="00305B75">
        <w:rPr>
          <w:rFonts w:cs="Arial" w:hint="cs"/>
          <w:rtl/>
        </w:rPr>
        <w:t>فردی</w:t>
      </w:r>
      <w:r w:rsidRPr="00305B75">
        <w:rPr>
          <w:rFonts w:cs="Arial"/>
          <w:rtl/>
        </w:rPr>
        <w:t xml:space="preserve"> </w:t>
      </w:r>
      <w:r w:rsidRPr="00305B75">
        <w:rPr>
          <w:rFonts w:cs="Arial" w:hint="cs"/>
          <w:rtl/>
        </w:rPr>
        <w:t>منجر</w:t>
      </w:r>
      <w:r w:rsidRPr="00305B75">
        <w:rPr>
          <w:rFonts w:cs="Arial"/>
          <w:rtl/>
        </w:rPr>
        <w:t xml:space="preserve"> </w:t>
      </w:r>
      <w:r w:rsidRPr="00305B75">
        <w:rPr>
          <w:rFonts w:cs="Arial" w:hint="cs"/>
          <w:rtl/>
        </w:rPr>
        <w:t>می</w:t>
      </w:r>
      <w:r w:rsidRPr="00305B75">
        <w:rPr>
          <w:rFonts w:cs="Arial"/>
          <w:rtl/>
        </w:rPr>
        <w:t xml:space="preserve"> </w:t>
      </w:r>
      <w:r w:rsidRPr="00305B75">
        <w:rPr>
          <w:rFonts w:cs="Arial" w:hint="cs"/>
          <w:rtl/>
        </w:rPr>
        <w:t>شوند؛</w:t>
      </w:r>
      <w:r w:rsidRPr="00305B75">
        <w:rPr>
          <w:rFonts w:cs="Arial"/>
          <w:rtl/>
        </w:rPr>
        <w:t xml:space="preserve"> (2) </w:t>
      </w:r>
      <w:r w:rsidRPr="00305B75">
        <w:rPr>
          <w:rFonts w:cs="Arial" w:hint="cs"/>
          <w:rtl/>
        </w:rPr>
        <w:t>در</w:t>
      </w:r>
      <w:r w:rsidRPr="00305B75">
        <w:rPr>
          <w:rFonts w:cs="Arial"/>
          <w:rtl/>
        </w:rPr>
        <w:t xml:space="preserve"> </w:t>
      </w:r>
      <w:r w:rsidRPr="00305B75">
        <w:rPr>
          <w:rFonts w:cs="Arial" w:hint="cs"/>
          <w:rtl/>
        </w:rPr>
        <w:t>افزایش</w:t>
      </w:r>
      <w:r w:rsidRPr="00305B75">
        <w:rPr>
          <w:rFonts w:cs="Arial"/>
          <w:rtl/>
        </w:rPr>
        <w:t xml:space="preserve"> </w:t>
      </w:r>
      <w:r w:rsidRPr="00305B75">
        <w:rPr>
          <w:rFonts w:cs="Arial" w:hint="cs"/>
          <w:rtl/>
        </w:rPr>
        <w:t>تولید</w:t>
      </w:r>
      <w:r w:rsidRPr="00305B75">
        <w:rPr>
          <w:rFonts w:cs="Arial"/>
          <w:rtl/>
        </w:rPr>
        <w:t xml:space="preserve"> </w:t>
      </w:r>
      <w:r w:rsidRPr="00305B75">
        <w:rPr>
          <w:rFonts w:cs="Arial" w:hint="cs"/>
          <w:rtl/>
        </w:rPr>
        <w:t>انرژی</w:t>
      </w:r>
      <w:r w:rsidRPr="00305B75">
        <w:rPr>
          <w:rFonts w:cs="Arial"/>
          <w:rtl/>
        </w:rPr>
        <w:t xml:space="preserve"> </w:t>
      </w:r>
      <w:r w:rsidRPr="00305B75">
        <w:rPr>
          <w:rFonts w:cs="Arial" w:hint="cs"/>
          <w:rtl/>
        </w:rPr>
        <w:t>پایدار</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منابع</w:t>
      </w:r>
      <w:r w:rsidRPr="00305B75">
        <w:rPr>
          <w:rFonts w:cs="Arial"/>
          <w:rtl/>
        </w:rPr>
        <w:t xml:space="preserve"> </w:t>
      </w:r>
      <w:r w:rsidRPr="00305B75">
        <w:rPr>
          <w:rFonts w:cs="Arial" w:hint="cs"/>
          <w:rtl/>
        </w:rPr>
        <w:t>مواد</w:t>
      </w:r>
      <w:r w:rsidRPr="00305B75">
        <w:rPr>
          <w:rFonts w:cs="Arial"/>
          <w:rtl/>
        </w:rPr>
        <w:t xml:space="preserve"> </w:t>
      </w:r>
      <w:r w:rsidRPr="00305B75">
        <w:rPr>
          <w:rFonts w:cs="Arial" w:hint="cs"/>
          <w:rtl/>
        </w:rPr>
        <w:t>با</w:t>
      </w:r>
      <w:r w:rsidRPr="00305B75">
        <w:rPr>
          <w:rFonts w:cs="Arial"/>
          <w:rtl/>
        </w:rPr>
        <w:t xml:space="preserve"> </w:t>
      </w:r>
      <w:r w:rsidRPr="00305B75">
        <w:rPr>
          <w:rFonts w:cs="Arial" w:hint="cs"/>
          <w:rtl/>
        </w:rPr>
        <w:t>حصول</w:t>
      </w:r>
      <w:r w:rsidRPr="00305B75">
        <w:rPr>
          <w:rFonts w:cs="Arial"/>
          <w:rtl/>
        </w:rPr>
        <w:t xml:space="preserve"> </w:t>
      </w:r>
      <w:r w:rsidRPr="00305B75">
        <w:rPr>
          <w:rFonts w:cs="Arial" w:hint="cs"/>
          <w:rtl/>
        </w:rPr>
        <w:t>اطمینان</w:t>
      </w:r>
      <w:r w:rsidRPr="00305B75">
        <w:rPr>
          <w:rFonts w:cs="Arial"/>
          <w:rtl/>
        </w:rPr>
        <w:t xml:space="preserve"> </w:t>
      </w:r>
      <w:r w:rsidRPr="00305B75">
        <w:rPr>
          <w:rFonts w:cs="Arial" w:hint="cs"/>
          <w:rtl/>
        </w:rPr>
        <w:t>از</w:t>
      </w:r>
      <w:r w:rsidRPr="00305B75">
        <w:rPr>
          <w:rFonts w:cs="Arial"/>
          <w:rtl/>
        </w:rPr>
        <w:t xml:space="preserve"> </w:t>
      </w:r>
      <w:r w:rsidRPr="00305B75">
        <w:rPr>
          <w:rFonts w:cs="Arial" w:hint="cs"/>
          <w:rtl/>
        </w:rPr>
        <w:t>مناطق</w:t>
      </w:r>
      <w:r w:rsidRPr="00305B75">
        <w:rPr>
          <w:rFonts w:cs="Arial"/>
          <w:rtl/>
        </w:rPr>
        <w:t xml:space="preserve"> </w:t>
      </w:r>
      <w:r w:rsidRPr="00305B75">
        <w:rPr>
          <w:rFonts w:cs="Arial" w:hint="cs"/>
          <w:rtl/>
        </w:rPr>
        <w:t>کافی</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نگه</w:t>
      </w:r>
      <w:r w:rsidRPr="00305B75">
        <w:rPr>
          <w:rFonts w:cs="Arial"/>
          <w:rtl/>
        </w:rPr>
        <w:t xml:space="preserve"> </w:t>
      </w:r>
      <w:r w:rsidRPr="00305B75">
        <w:rPr>
          <w:rFonts w:cs="Arial" w:hint="cs"/>
          <w:rtl/>
        </w:rPr>
        <w:t>داشتن</w:t>
      </w:r>
      <w:r w:rsidRPr="00305B75">
        <w:rPr>
          <w:rFonts w:cs="Arial"/>
          <w:rtl/>
        </w:rPr>
        <w:t xml:space="preserve"> </w:t>
      </w:r>
      <w:r w:rsidRPr="00305B75">
        <w:rPr>
          <w:rFonts w:cs="Arial" w:hint="cs"/>
          <w:rtl/>
        </w:rPr>
        <w:t>آنها</w:t>
      </w:r>
      <w:r w:rsidRPr="00305B75">
        <w:rPr>
          <w:rFonts w:cs="Arial"/>
          <w:rtl/>
        </w:rPr>
        <w:t xml:space="preserve"> </w:t>
      </w:r>
      <w:r w:rsidRPr="00305B75">
        <w:rPr>
          <w:rFonts w:cs="Arial" w:hint="cs"/>
          <w:rtl/>
        </w:rPr>
        <w:t>از</w:t>
      </w:r>
      <w:r w:rsidRPr="00305B75">
        <w:rPr>
          <w:rFonts w:cs="Arial"/>
          <w:rtl/>
        </w:rPr>
        <w:t xml:space="preserve"> </w:t>
      </w:r>
      <w:r w:rsidRPr="00305B75">
        <w:rPr>
          <w:rFonts w:cs="Arial" w:hint="cs"/>
          <w:rtl/>
        </w:rPr>
        <w:t>استفاده</w:t>
      </w:r>
      <w:r w:rsidRPr="00305B75">
        <w:rPr>
          <w:rFonts w:cs="Arial"/>
          <w:rtl/>
        </w:rPr>
        <w:t xml:space="preserve"> </w:t>
      </w:r>
      <w:r w:rsidRPr="00305B75">
        <w:rPr>
          <w:rFonts w:cs="Arial" w:hint="cs"/>
          <w:rtl/>
        </w:rPr>
        <w:t>از</w:t>
      </w:r>
      <w:r w:rsidRPr="00305B75">
        <w:rPr>
          <w:rFonts w:cs="Arial"/>
          <w:rtl/>
        </w:rPr>
        <w:t xml:space="preserve"> </w:t>
      </w:r>
      <w:r w:rsidRPr="00305B75">
        <w:rPr>
          <w:rFonts w:cs="Arial" w:hint="cs"/>
          <w:rtl/>
        </w:rPr>
        <w:t>زمین</w:t>
      </w:r>
      <w:r w:rsidRPr="00305B75">
        <w:rPr>
          <w:rFonts w:cs="Arial"/>
          <w:rtl/>
        </w:rPr>
        <w:t xml:space="preserve"> </w:t>
      </w:r>
      <w:r w:rsidRPr="00305B75">
        <w:rPr>
          <w:rFonts w:cs="Arial" w:hint="cs"/>
          <w:rtl/>
        </w:rPr>
        <w:t>که</w:t>
      </w:r>
      <w:r w:rsidRPr="00305B75">
        <w:rPr>
          <w:rFonts w:cs="Arial"/>
          <w:rtl/>
        </w:rPr>
        <w:t xml:space="preserve"> </w:t>
      </w:r>
      <w:r w:rsidRPr="00305B75">
        <w:rPr>
          <w:rFonts w:cs="Arial" w:hint="cs"/>
          <w:rtl/>
        </w:rPr>
        <w:t>به</w:t>
      </w:r>
      <w:r w:rsidRPr="00305B75">
        <w:rPr>
          <w:rFonts w:cs="Arial"/>
          <w:rtl/>
        </w:rPr>
        <w:t xml:space="preserve"> </w:t>
      </w:r>
      <w:r w:rsidRPr="00305B75">
        <w:rPr>
          <w:rFonts w:cs="Arial" w:hint="cs"/>
          <w:rtl/>
        </w:rPr>
        <w:t>تولید</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بهره</w:t>
      </w:r>
      <w:r w:rsidRPr="00305B75">
        <w:rPr>
          <w:rFonts w:cs="Arial"/>
          <w:rtl/>
        </w:rPr>
        <w:t xml:space="preserve"> </w:t>
      </w:r>
      <w:r w:rsidRPr="00305B75">
        <w:rPr>
          <w:rFonts w:cs="Arial" w:hint="cs"/>
          <w:rtl/>
        </w:rPr>
        <w:t>برداری</w:t>
      </w:r>
      <w:r w:rsidRPr="00305B75">
        <w:rPr>
          <w:rFonts w:cs="Arial"/>
          <w:rtl/>
        </w:rPr>
        <w:t xml:space="preserve"> </w:t>
      </w:r>
      <w:r w:rsidRPr="00305B75">
        <w:rPr>
          <w:rFonts w:cs="Arial" w:hint="cs"/>
          <w:rtl/>
        </w:rPr>
        <w:t>از</w:t>
      </w:r>
      <w:r w:rsidRPr="00305B75">
        <w:rPr>
          <w:rFonts w:cs="Arial"/>
          <w:rtl/>
        </w:rPr>
        <w:t xml:space="preserve"> </w:t>
      </w:r>
      <w:r w:rsidRPr="00305B75">
        <w:rPr>
          <w:rFonts w:cs="Arial" w:hint="cs"/>
          <w:rtl/>
        </w:rPr>
        <w:t>منابع</w:t>
      </w:r>
      <w:r w:rsidRPr="00305B75">
        <w:rPr>
          <w:rFonts w:cs="Arial"/>
          <w:rtl/>
        </w:rPr>
        <w:t xml:space="preserve"> </w:t>
      </w:r>
      <w:r w:rsidRPr="00305B75">
        <w:rPr>
          <w:rFonts w:cs="Arial" w:hint="cs"/>
          <w:rtl/>
        </w:rPr>
        <w:t>منجر</w:t>
      </w:r>
      <w:r w:rsidRPr="00305B75">
        <w:rPr>
          <w:rFonts w:cs="Arial"/>
          <w:rtl/>
        </w:rPr>
        <w:t xml:space="preserve"> </w:t>
      </w:r>
      <w:r w:rsidRPr="00305B75">
        <w:rPr>
          <w:rFonts w:cs="Arial" w:hint="cs"/>
          <w:rtl/>
        </w:rPr>
        <w:t>می</w:t>
      </w:r>
      <w:r w:rsidRPr="00305B75">
        <w:rPr>
          <w:rFonts w:cs="Arial"/>
          <w:rtl/>
        </w:rPr>
        <w:t xml:space="preserve"> </w:t>
      </w:r>
      <w:r w:rsidRPr="00305B75">
        <w:rPr>
          <w:rFonts w:cs="Arial" w:hint="cs"/>
          <w:rtl/>
        </w:rPr>
        <w:t>شود،</w:t>
      </w:r>
      <w:r w:rsidRPr="00305B75">
        <w:rPr>
          <w:rFonts w:cs="Arial"/>
          <w:rtl/>
        </w:rPr>
        <w:t xml:space="preserve"> </w:t>
      </w:r>
      <w:r w:rsidRPr="00305B75">
        <w:rPr>
          <w:rFonts w:cs="Arial" w:hint="cs"/>
          <w:rtl/>
        </w:rPr>
        <w:t>به</w:t>
      </w:r>
      <w:r w:rsidRPr="00305B75">
        <w:rPr>
          <w:rFonts w:cs="Arial"/>
          <w:rtl/>
        </w:rPr>
        <w:t xml:space="preserve"> </w:t>
      </w:r>
      <w:r w:rsidRPr="00305B75">
        <w:rPr>
          <w:rFonts w:cs="Arial" w:hint="cs"/>
          <w:rtl/>
        </w:rPr>
        <w:t>عنوان</w:t>
      </w:r>
      <w:r w:rsidRPr="00305B75">
        <w:rPr>
          <w:rFonts w:cs="Arial"/>
          <w:rtl/>
        </w:rPr>
        <w:t xml:space="preserve"> </w:t>
      </w:r>
      <w:r w:rsidRPr="00305B75">
        <w:rPr>
          <w:rFonts w:cs="Arial" w:hint="cs"/>
          <w:rtl/>
        </w:rPr>
        <w:t>مثال</w:t>
      </w:r>
      <w:r w:rsidRPr="00305B75">
        <w:rPr>
          <w:rFonts w:cs="Arial"/>
          <w:rtl/>
        </w:rPr>
        <w:t xml:space="preserve"> </w:t>
      </w:r>
      <w:r w:rsidRPr="00305B75">
        <w:rPr>
          <w:rFonts w:cs="Arial" w:hint="cs"/>
          <w:rtl/>
        </w:rPr>
        <w:t>با</w:t>
      </w:r>
      <w:r w:rsidRPr="00305B75">
        <w:rPr>
          <w:rFonts w:cs="Arial"/>
          <w:rtl/>
        </w:rPr>
        <w:t xml:space="preserve"> </w:t>
      </w:r>
      <w:r w:rsidRPr="00305B75">
        <w:rPr>
          <w:rFonts w:cs="Arial" w:hint="cs"/>
          <w:rtl/>
        </w:rPr>
        <w:t>جلوگیری</w:t>
      </w:r>
      <w:r w:rsidRPr="00305B75">
        <w:rPr>
          <w:rFonts w:cs="Arial"/>
          <w:rtl/>
        </w:rPr>
        <w:t xml:space="preserve"> </w:t>
      </w:r>
      <w:r w:rsidRPr="00305B75">
        <w:rPr>
          <w:rFonts w:cs="Arial" w:hint="cs"/>
          <w:rtl/>
        </w:rPr>
        <w:t>از</w:t>
      </w:r>
      <w:r w:rsidRPr="00305B75">
        <w:rPr>
          <w:rFonts w:cs="Arial"/>
          <w:rtl/>
        </w:rPr>
        <w:t xml:space="preserve"> </w:t>
      </w:r>
      <w:r w:rsidRPr="00305B75">
        <w:rPr>
          <w:rFonts w:cs="Arial" w:hint="cs"/>
          <w:rtl/>
        </w:rPr>
        <w:t>انفجار</w:t>
      </w:r>
      <w:r w:rsidRPr="00305B75">
        <w:rPr>
          <w:rFonts w:cs="Arial"/>
          <w:rtl/>
        </w:rPr>
        <w:t xml:space="preserve"> </w:t>
      </w:r>
      <w:r w:rsidRPr="00305B75">
        <w:rPr>
          <w:rFonts w:cs="Arial" w:hint="cs"/>
          <w:rtl/>
        </w:rPr>
        <w:t>شهری؛</w:t>
      </w:r>
      <w:r w:rsidRPr="00305B75">
        <w:rPr>
          <w:rFonts w:cs="Arial"/>
          <w:rtl/>
        </w:rPr>
        <w:t xml:space="preserve"> (3) </w:t>
      </w:r>
      <w:r w:rsidRPr="00305B75">
        <w:rPr>
          <w:rFonts w:cs="Arial" w:hint="cs"/>
          <w:rtl/>
        </w:rPr>
        <w:t>در</w:t>
      </w:r>
      <w:r w:rsidRPr="00305B75">
        <w:rPr>
          <w:rFonts w:cs="Arial"/>
          <w:rtl/>
        </w:rPr>
        <w:t xml:space="preserve"> </w:t>
      </w:r>
      <w:r w:rsidRPr="00305B75">
        <w:rPr>
          <w:rFonts w:cs="Arial" w:hint="cs"/>
          <w:rtl/>
        </w:rPr>
        <w:t>تضمین</w:t>
      </w:r>
      <w:r w:rsidRPr="00305B75">
        <w:rPr>
          <w:rFonts w:cs="Arial"/>
          <w:rtl/>
        </w:rPr>
        <w:t xml:space="preserve"> </w:t>
      </w:r>
      <w:r w:rsidRPr="00305B75">
        <w:rPr>
          <w:rFonts w:cs="Arial" w:hint="cs"/>
          <w:rtl/>
        </w:rPr>
        <w:t>تولید</w:t>
      </w:r>
      <w:r w:rsidRPr="00305B75">
        <w:rPr>
          <w:rFonts w:cs="Arial"/>
          <w:rtl/>
        </w:rPr>
        <w:t xml:space="preserve"> </w:t>
      </w:r>
      <w:r w:rsidRPr="00305B75">
        <w:rPr>
          <w:rFonts w:cs="Arial" w:hint="cs"/>
          <w:rtl/>
        </w:rPr>
        <w:t>انرژی</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منابع</w:t>
      </w:r>
      <w:r w:rsidRPr="00305B75">
        <w:rPr>
          <w:rFonts w:cs="Arial"/>
          <w:rtl/>
        </w:rPr>
        <w:t xml:space="preserve"> </w:t>
      </w:r>
      <w:r w:rsidRPr="00305B75">
        <w:rPr>
          <w:rFonts w:cs="Arial" w:hint="cs"/>
          <w:rtl/>
        </w:rPr>
        <w:t>در</w:t>
      </w:r>
      <w:r w:rsidRPr="00305B75">
        <w:rPr>
          <w:rFonts w:cs="Arial"/>
          <w:rtl/>
        </w:rPr>
        <w:t xml:space="preserve"> </w:t>
      </w:r>
      <w:r w:rsidRPr="00305B75">
        <w:rPr>
          <w:rFonts w:cs="Arial" w:hint="cs"/>
          <w:rtl/>
        </w:rPr>
        <w:t>محدوده</w:t>
      </w:r>
      <w:r w:rsidRPr="00305B75">
        <w:rPr>
          <w:rFonts w:cs="Arial"/>
          <w:rtl/>
        </w:rPr>
        <w:t xml:space="preserve"> </w:t>
      </w:r>
      <w:r w:rsidRPr="00305B75">
        <w:rPr>
          <w:rFonts w:cs="Arial" w:hint="cs"/>
          <w:rtl/>
        </w:rPr>
        <w:t>ظرفیت</w:t>
      </w:r>
      <w:r w:rsidRPr="00305B75">
        <w:rPr>
          <w:rFonts w:cs="Arial"/>
          <w:rtl/>
        </w:rPr>
        <w:t xml:space="preserve"> </w:t>
      </w:r>
      <w:r w:rsidRPr="00305B75">
        <w:rPr>
          <w:rFonts w:cs="Arial" w:hint="cs"/>
          <w:rtl/>
        </w:rPr>
        <w:t>محیطی؛</w:t>
      </w:r>
      <w:r w:rsidRPr="00305B75">
        <w:rPr>
          <w:rFonts w:cs="Arial"/>
          <w:rtl/>
        </w:rPr>
        <w:t xml:space="preserve"> (4) </w:t>
      </w:r>
      <w:r w:rsidRPr="00305B75">
        <w:rPr>
          <w:rFonts w:cs="Arial" w:hint="cs"/>
          <w:rtl/>
        </w:rPr>
        <w:t>در</w:t>
      </w:r>
      <w:r w:rsidRPr="00305B75">
        <w:rPr>
          <w:rFonts w:cs="Arial"/>
          <w:rtl/>
        </w:rPr>
        <w:t xml:space="preserve"> </w:t>
      </w:r>
      <w:r w:rsidRPr="00305B75">
        <w:rPr>
          <w:rFonts w:cs="Arial" w:hint="cs"/>
          <w:rtl/>
        </w:rPr>
        <w:t>یک</w:t>
      </w:r>
      <w:r w:rsidRPr="00305B75">
        <w:rPr>
          <w:rFonts w:cs="Arial"/>
          <w:rtl/>
        </w:rPr>
        <w:t xml:space="preserve"> </w:t>
      </w:r>
      <w:r w:rsidRPr="00305B75">
        <w:rPr>
          <w:rFonts w:cs="Arial" w:hint="cs"/>
          <w:rtl/>
        </w:rPr>
        <w:t>تمایز</w:t>
      </w:r>
      <w:r w:rsidRPr="00305B75">
        <w:rPr>
          <w:rFonts w:cs="Arial"/>
          <w:rtl/>
        </w:rPr>
        <w:t xml:space="preserve"> </w:t>
      </w:r>
      <w:r w:rsidRPr="00305B75">
        <w:rPr>
          <w:rFonts w:cs="Arial" w:hint="cs"/>
          <w:rtl/>
        </w:rPr>
        <w:t>فضایی</w:t>
      </w:r>
      <w:r w:rsidRPr="00305B75">
        <w:rPr>
          <w:rFonts w:cs="Arial"/>
          <w:rtl/>
        </w:rPr>
        <w:t xml:space="preserve"> </w:t>
      </w:r>
      <w:r w:rsidRPr="00305B75">
        <w:rPr>
          <w:rFonts w:cs="Arial" w:hint="cs"/>
          <w:rtl/>
        </w:rPr>
        <w:t>تولید</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پردازش</w:t>
      </w:r>
      <w:r w:rsidRPr="00305B75">
        <w:rPr>
          <w:rFonts w:cs="Arial"/>
          <w:rtl/>
        </w:rPr>
        <w:t xml:space="preserve"> </w:t>
      </w:r>
      <w:r w:rsidRPr="00305B75">
        <w:rPr>
          <w:rFonts w:cs="Arial" w:hint="cs"/>
          <w:rtl/>
        </w:rPr>
        <w:t>انرژی</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منابع</w:t>
      </w:r>
      <w:r w:rsidRPr="00305B75">
        <w:rPr>
          <w:rFonts w:cs="Arial"/>
          <w:rtl/>
        </w:rPr>
        <w:t xml:space="preserve"> </w:t>
      </w:r>
      <w:r w:rsidRPr="00305B75">
        <w:rPr>
          <w:rFonts w:cs="Arial" w:hint="cs"/>
          <w:rtl/>
        </w:rPr>
        <w:t>با</w:t>
      </w:r>
      <w:r w:rsidRPr="00305B75">
        <w:rPr>
          <w:rFonts w:cs="Arial"/>
          <w:rtl/>
        </w:rPr>
        <w:t xml:space="preserve"> </w:t>
      </w:r>
      <w:r w:rsidRPr="00305B75">
        <w:rPr>
          <w:rFonts w:cs="Arial" w:hint="cs"/>
          <w:rtl/>
        </w:rPr>
        <w:t>توجه</w:t>
      </w:r>
      <w:r w:rsidRPr="00305B75">
        <w:rPr>
          <w:rFonts w:cs="Arial"/>
          <w:rtl/>
        </w:rPr>
        <w:t xml:space="preserve"> </w:t>
      </w:r>
      <w:r w:rsidRPr="00305B75">
        <w:rPr>
          <w:rFonts w:cs="Arial" w:hint="cs"/>
          <w:rtl/>
        </w:rPr>
        <w:t>به</w:t>
      </w:r>
      <w:r w:rsidRPr="00305B75">
        <w:rPr>
          <w:rFonts w:cs="Arial"/>
          <w:rtl/>
        </w:rPr>
        <w:t xml:space="preserve"> </w:t>
      </w:r>
      <w:r w:rsidRPr="00305B75">
        <w:rPr>
          <w:rFonts w:cs="Arial" w:hint="cs"/>
          <w:rtl/>
        </w:rPr>
        <w:t>شرایط</w:t>
      </w:r>
      <w:r w:rsidRPr="00305B75">
        <w:rPr>
          <w:rFonts w:cs="Arial"/>
          <w:rtl/>
        </w:rPr>
        <w:t xml:space="preserve"> </w:t>
      </w:r>
      <w:r w:rsidRPr="00305B75">
        <w:rPr>
          <w:rFonts w:cs="Arial" w:hint="cs"/>
          <w:rtl/>
        </w:rPr>
        <w:t>تولید</w:t>
      </w:r>
      <w:r w:rsidRPr="00305B75">
        <w:rPr>
          <w:rFonts w:cs="Arial"/>
          <w:rtl/>
        </w:rPr>
        <w:t xml:space="preserve"> </w:t>
      </w:r>
      <w:r w:rsidRPr="00305B75">
        <w:rPr>
          <w:rFonts w:cs="Arial" w:hint="cs"/>
          <w:rtl/>
        </w:rPr>
        <w:t>طبیعی؛</w:t>
      </w:r>
      <w:r w:rsidRPr="00305B75">
        <w:rPr>
          <w:rFonts w:cs="Arial"/>
          <w:rtl/>
        </w:rPr>
        <w:t xml:space="preserve"> (5) </w:t>
      </w:r>
      <w:r w:rsidRPr="00305B75">
        <w:rPr>
          <w:rFonts w:cs="Arial" w:hint="cs"/>
          <w:rtl/>
        </w:rPr>
        <w:t>در</w:t>
      </w:r>
      <w:r w:rsidRPr="00305B75">
        <w:rPr>
          <w:rFonts w:cs="Arial"/>
          <w:rtl/>
        </w:rPr>
        <w:t xml:space="preserve"> </w:t>
      </w:r>
      <w:r w:rsidRPr="00305B75">
        <w:rPr>
          <w:rFonts w:cs="Arial" w:hint="cs"/>
          <w:rtl/>
        </w:rPr>
        <w:t>هماهنگ</w:t>
      </w:r>
      <w:r w:rsidRPr="00305B75">
        <w:rPr>
          <w:rFonts w:cs="Arial"/>
          <w:rtl/>
        </w:rPr>
        <w:t xml:space="preserve"> </w:t>
      </w:r>
      <w:r w:rsidRPr="00305B75">
        <w:rPr>
          <w:rFonts w:cs="Arial" w:hint="cs"/>
          <w:rtl/>
        </w:rPr>
        <w:t>کردن</w:t>
      </w:r>
      <w:r w:rsidRPr="00305B75">
        <w:rPr>
          <w:rFonts w:cs="Arial"/>
          <w:rtl/>
        </w:rPr>
        <w:t xml:space="preserve"> </w:t>
      </w:r>
      <w:r w:rsidRPr="00305B75">
        <w:rPr>
          <w:rFonts w:cs="Arial" w:hint="cs"/>
          <w:rtl/>
        </w:rPr>
        <w:t>برنامه</w:t>
      </w:r>
      <w:r w:rsidRPr="00305B75">
        <w:rPr>
          <w:rFonts w:cs="Arial"/>
          <w:rtl/>
        </w:rPr>
        <w:t xml:space="preserve"> </w:t>
      </w:r>
      <w:r w:rsidRPr="00305B75">
        <w:rPr>
          <w:rFonts w:cs="Arial" w:hint="cs"/>
          <w:rtl/>
        </w:rPr>
        <w:t>ریزی</w:t>
      </w:r>
      <w:r w:rsidRPr="00305B75">
        <w:rPr>
          <w:rFonts w:cs="Arial"/>
          <w:rtl/>
        </w:rPr>
        <w:t xml:space="preserve"> </w:t>
      </w:r>
      <w:r w:rsidRPr="00305B75">
        <w:rPr>
          <w:rFonts w:cs="Arial" w:hint="cs"/>
          <w:rtl/>
        </w:rPr>
        <w:t>منابع</w:t>
      </w:r>
      <w:r w:rsidRPr="00305B75">
        <w:rPr>
          <w:rFonts w:cs="Arial"/>
          <w:rtl/>
        </w:rPr>
        <w:t xml:space="preserve"> </w:t>
      </w:r>
      <w:r w:rsidRPr="00305B75">
        <w:rPr>
          <w:rFonts w:cs="Arial" w:hint="cs"/>
          <w:rtl/>
        </w:rPr>
        <w:t>انرژی</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منابع</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برنامه</w:t>
      </w:r>
      <w:r w:rsidRPr="00305B75">
        <w:rPr>
          <w:rFonts w:cs="Arial"/>
          <w:rtl/>
        </w:rPr>
        <w:t xml:space="preserve"> </w:t>
      </w:r>
      <w:r w:rsidRPr="00305B75">
        <w:rPr>
          <w:rFonts w:cs="Arial" w:hint="cs"/>
          <w:rtl/>
        </w:rPr>
        <w:t>ریزی</w:t>
      </w:r>
      <w:r w:rsidRPr="00305B75">
        <w:rPr>
          <w:rFonts w:cs="Arial"/>
          <w:rtl/>
        </w:rPr>
        <w:t xml:space="preserve"> </w:t>
      </w:r>
      <w:r w:rsidRPr="00305B75">
        <w:rPr>
          <w:rFonts w:cs="Arial" w:hint="cs"/>
          <w:rtl/>
        </w:rPr>
        <w:t>فضایی</w:t>
      </w:r>
      <w:r w:rsidRPr="00305B75">
        <w:rPr>
          <w:rFonts w:cs="Arial"/>
          <w:rtl/>
        </w:rPr>
        <w:t xml:space="preserve"> </w:t>
      </w:r>
      <w:r w:rsidRPr="00305B75">
        <w:rPr>
          <w:rFonts w:cs="Arial" w:hint="cs"/>
          <w:rtl/>
        </w:rPr>
        <w:t>برای</w:t>
      </w:r>
      <w:r w:rsidRPr="00305B75">
        <w:rPr>
          <w:rFonts w:cs="Arial"/>
          <w:rtl/>
        </w:rPr>
        <w:t xml:space="preserve"> </w:t>
      </w:r>
      <w:r w:rsidRPr="00305B75">
        <w:rPr>
          <w:rFonts w:cs="Arial" w:hint="cs"/>
          <w:rtl/>
        </w:rPr>
        <w:t>دستیابی</w:t>
      </w:r>
      <w:r w:rsidRPr="00305B75">
        <w:rPr>
          <w:rFonts w:cs="Arial"/>
          <w:rtl/>
        </w:rPr>
        <w:t xml:space="preserve"> </w:t>
      </w:r>
      <w:r w:rsidRPr="00305B75">
        <w:rPr>
          <w:rFonts w:cs="Arial" w:hint="cs"/>
          <w:rtl/>
        </w:rPr>
        <w:t>به</w:t>
      </w:r>
      <w:r w:rsidRPr="00305B75">
        <w:rPr>
          <w:rFonts w:cs="Arial"/>
          <w:rtl/>
        </w:rPr>
        <w:t xml:space="preserve"> </w:t>
      </w:r>
      <w:r w:rsidRPr="00305B75">
        <w:rPr>
          <w:rFonts w:cs="Arial" w:hint="cs"/>
          <w:rtl/>
        </w:rPr>
        <w:t>بهره</w:t>
      </w:r>
      <w:r w:rsidRPr="00305B75">
        <w:rPr>
          <w:rFonts w:cs="Arial"/>
          <w:rtl/>
        </w:rPr>
        <w:t xml:space="preserve"> </w:t>
      </w:r>
      <w:r w:rsidRPr="00305B75">
        <w:rPr>
          <w:rFonts w:cs="Arial" w:hint="cs"/>
          <w:rtl/>
        </w:rPr>
        <w:t>برداری</w:t>
      </w:r>
      <w:r w:rsidRPr="00305B75">
        <w:rPr>
          <w:rFonts w:cs="Arial"/>
          <w:rtl/>
        </w:rPr>
        <w:t xml:space="preserve"> </w:t>
      </w:r>
      <w:r w:rsidRPr="00305B75">
        <w:rPr>
          <w:rFonts w:cs="Arial" w:hint="cs"/>
          <w:rtl/>
        </w:rPr>
        <w:t>مطلوب</w:t>
      </w:r>
      <w:r w:rsidRPr="00305B75">
        <w:rPr>
          <w:rFonts w:cs="Arial"/>
          <w:rtl/>
        </w:rPr>
        <w:t xml:space="preserve"> </w:t>
      </w:r>
      <w:r w:rsidRPr="00305B75">
        <w:rPr>
          <w:rFonts w:cs="Arial" w:hint="cs"/>
          <w:rtl/>
        </w:rPr>
        <w:t>از</w:t>
      </w:r>
      <w:r w:rsidRPr="00305B75">
        <w:rPr>
          <w:rFonts w:cs="Arial"/>
          <w:rtl/>
        </w:rPr>
        <w:t xml:space="preserve"> </w:t>
      </w:r>
      <w:r w:rsidRPr="00305B75">
        <w:rPr>
          <w:rFonts w:cs="Arial" w:hint="cs"/>
          <w:rtl/>
        </w:rPr>
        <w:t>انرژي</w:t>
      </w:r>
      <w:r w:rsidRPr="00305B75">
        <w:rPr>
          <w:rFonts w:cs="Arial"/>
          <w:rtl/>
        </w:rPr>
        <w:t xml:space="preserve"> </w:t>
      </w:r>
      <w:r w:rsidRPr="00305B75">
        <w:rPr>
          <w:rFonts w:cs="Arial" w:hint="cs"/>
          <w:rtl/>
        </w:rPr>
        <w:t>در</w:t>
      </w:r>
      <w:r w:rsidRPr="00305B75">
        <w:rPr>
          <w:rFonts w:cs="Arial"/>
          <w:rtl/>
        </w:rPr>
        <w:t xml:space="preserve"> </w:t>
      </w:r>
      <w:r w:rsidRPr="00305B75">
        <w:rPr>
          <w:rFonts w:cs="Arial" w:hint="cs"/>
          <w:rtl/>
        </w:rPr>
        <w:t>حال</w:t>
      </w:r>
      <w:r w:rsidRPr="00305B75">
        <w:rPr>
          <w:rFonts w:cs="Arial"/>
          <w:rtl/>
        </w:rPr>
        <w:t xml:space="preserve"> </w:t>
      </w:r>
      <w:r w:rsidRPr="00305B75">
        <w:rPr>
          <w:rFonts w:cs="Arial" w:hint="cs"/>
          <w:rtl/>
        </w:rPr>
        <w:t>حاضر</w:t>
      </w:r>
      <w:r w:rsidRPr="00305B75">
        <w:rPr>
          <w:rFonts w:cs="Arial"/>
          <w:rtl/>
        </w:rPr>
        <w:t xml:space="preserve"> </w:t>
      </w:r>
      <w:r w:rsidRPr="00305B75">
        <w:rPr>
          <w:rFonts w:cs="Arial" w:hint="cs"/>
          <w:rtl/>
        </w:rPr>
        <w:t>با</w:t>
      </w:r>
      <w:r w:rsidRPr="00305B75">
        <w:rPr>
          <w:rFonts w:cs="Arial"/>
          <w:rtl/>
        </w:rPr>
        <w:t xml:space="preserve"> </w:t>
      </w:r>
      <w:r w:rsidRPr="00305B75">
        <w:rPr>
          <w:rFonts w:cs="Arial" w:hint="cs"/>
          <w:rtl/>
        </w:rPr>
        <w:t>استفاده</w:t>
      </w:r>
      <w:r w:rsidRPr="00305B75">
        <w:rPr>
          <w:rFonts w:cs="Arial"/>
          <w:rtl/>
        </w:rPr>
        <w:t xml:space="preserve"> </w:t>
      </w:r>
      <w:r w:rsidRPr="00305B75">
        <w:rPr>
          <w:rFonts w:cs="Arial" w:hint="cs"/>
          <w:rtl/>
        </w:rPr>
        <w:t>از</w:t>
      </w:r>
      <w:r w:rsidRPr="00305B75">
        <w:rPr>
          <w:rFonts w:cs="Arial"/>
          <w:rtl/>
        </w:rPr>
        <w:t xml:space="preserve"> </w:t>
      </w:r>
      <w:r w:rsidRPr="00305B75">
        <w:rPr>
          <w:rFonts w:cs="Arial" w:hint="cs"/>
          <w:rtl/>
        </w:rPr>
        <w:t>آبشار</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اتصال</w:t>
      </w:r>
      <w:r w:rsidRPr="00305B75">
        <w:rPr>
          <w:rFonts w:cs="Arial"/>
          <w:rtl/>
        </w:rPr>
        <w:t xml:space="preserve"> </w:t>
      </w:r>
      <w:r w:rsidRPr="00305B75">
        <w:rPr>
          <w:rFonts w:cs="Arial" w:hint="cs"/>
          <w:rtl/>
        </w:rPr>
        <w:t>شبکه</w:t>
      </w:r>
      <w:r w:rsidRPr="00305B75">
        <w:rPr>
          <w:rFonts w:cs="Arial"/>
          <w:rtl/>
        </w:rPr>
        <w:t xml:space="preserve"> </w:t>
      </w:r>
      <w:r w:rsidRPr="00305B75">
        <w:rPr>
          <w:rFonts w:cs="Arial" w:hint="cs"/>
          <w:rtl/>
        </w:rPr>
        <w:t>های</w:t>
      </w:r>
      <w:r w:rsidRPr="00305B75">
        <w:rPr>
          <w:rFonts w:cs="Arial"/>
          <w:rtl/>
        </w:rPr>
        <w:t xml:space="preserve"> </w:t>
      </w:r>
      <w:r w:rsidRPr="00305B75">
        <w:rPr>
          <w:rFonts w:cs="Arial" w:hint="cs"/>
          <w:rtl/>
        </w:rPr>
        <w:t>مختلف</w:t>
      </w:r>
      <w:r>
        <w:rPr>
          <w:rFonts w:cs="Arial"/>
          <w:rtl/>
        </w:rPr>
        <w:fldChar w:fldCharType="begin" w:fldLock="1"/>
      </w:r>
      <w:r>
        <w:rPr>
          <w:rFonts w:cs="Arial"/>
        </w:rPr>
        <w:instrText>ADDIN CSL_CITATION { "citationItems" : [ { "id" : "ITEM-1", "itemData" : { "DOI" : "10.1186/2192-0567-1-2", "ISSN" : "2192-0567", "abstract" : "The turn to sustainable energy system is a major societal goal at the global level. In this paper, we argue that this radical shift in energy provision towards increased energy efficiency and the use of renewable resources can only be achieved if its spatial dimensions are taken into consideration. Spatial structures have considerable influence on different aspects of the energy demand, and with spatial planning, the resource availability and use are influenced. Further, we propose that different spatial types need different strategies for the implementation of sustainable energy systems and that integrated spatial and energy planning is needed to support this change. Visions for four types of spatial structures: the city, the suburban area, the small town as well as the rural areas define their roles in the \"space-resource-planning continuum\", which are the foundation to shape an integrated spatial and energy planning system.", "author" : [ { "dropping-particle" : "", "family" : "Stoeglehner", "given" : "Gernot", "non-dropping-particle" : "", "parse-names" : false, "suffix" : "" }, { "dropping-particle" : "", "family" : "Niemetz", "given" : "Nora", "non-dropping-particle" : "", "parse-names" : false, "suffix" : "" }, { "dropping-particle" : "", "family" : "Kettl", "given" : "Karl-Heinz", "non-dropping-particle" : "", "parse-names" : false, "suffix" : "" } ], "container-title" : "Energy, Sustainability and Society", "id" : "ITEM-1", "issue" : "2", "issued" : { "date-parts" : [ [ "2011" ] ] }, "page" : "1-9", "title" : "Spatial dimensions of sustainable energy systems: new visions for integrated spatial and energy planning", "type" : "article-journal", "volume" : "1" }, "uris" : [ "http://www.mendeley.com/documents/?uuid=0275e6c4-9e5a-4ac1-869f-06cdc44614d5" ] } ], "mendeley" : { "formattedCitation" : "(Stoeglehner, Niemetz, &amp; Kettl, 2011)", "plainTextFormattedCitation" : "(Stoeglehner, Niemetz, &amp; Kettl, 2011)", "previouslyFormattedCitation" : "(Stoeglehner, Niemetz, &amp; Kettl, 2011)" }, "properties" : {  }, "schema" : "https://github.com/citation-style-language/schema/raw/master/csl-citation.json" }</w:instrText>
      </w:r>
      <w:r>
        <w:rPr>
          <w:rFonts w:cs="Arial"/>
          <w:rtl/>
        </w:rPr>
        <w:fldChar w:fldCharType="separate"/>
      </w:r>
      <w:r w:rsidRPr="00305B75">
        <w:rPr>
          <w:rFonts w:cs="Arial"/>
          <w:noProof/>
        </w:rPr>
        <w:t>(Stoeglehner, Niemetz, &amp; Kettl, 2011)</w:t>
      </w:r>
      <w:r>
        <w:rPr>
          <w:rFonts w:cs="Arial"/>
          <w:rtl/>
        </w:rPr>
        <w:fldChar w:fldCharType="end"/>
      </w:r>
      <w:r w:rsidRPr="00305B75">
        <w:rPr>
          <w:rFonts w:cs="Arial"/>
          <w:rtl/>
        </w:rPr>
        <w:t>.</w:t>
      </w:r>
    </w:p>
    <w:p w14:paraId="3C2E9E9A" w14:textId="77777777" w:rsidR="002F0D7F" w:rsidRDefault="002F0D7F" w:rsidP="002F0D7F">
      <w:pPr>
        <w:bidi/>
        <w:rPr>
          <w:rFonts w:cs="B Lotus"/>
          <w:rtl/>
        </w:rPr>
      </w:pPr>
      <w:r>
        <w:rPr>
          <w:rFonts w:cs="B Lotus" w:hint="cs"/>
          <w:rtl/>
        </w:rPr>
        <w:t xml:space="preserve">سامپیو و همکارانش </w:t>
      </w:r>
      <w:r w:rsidRPr="00262069">
        <w:rPr>
          <w:rFonts w:cs="B Lotus" w:hint="cs"/>
          <w:rtl/>
        </w:rPr>
        <w:t xml:space="preserve">مدل برنامه نویسی چند هدفه برنامه های کاربردی، جایگزین ارسال انرژی برای گزینه های در نظر گرفته شده  فتوولتائیک، باد، سیستم های مبتنی بر گازهای طبیعی  با توجه به اهداف اقتصادی و زیست محیطی، ارائه </w:t>
      </w:r>
      <w:r>
        <w:rPr>
          <w:rFonts w:cs="B Lotus" w:hint="cs"/>
          <w:rtl/>
        </w:rPr>
        <w:t>داده</w:t>
      </w:r>
      <w:r>
        <w:rPr>
          <w:rFonts w:cs="B Lotus"/>
          <w:rtl/>
        </w:rPr>
        <w:softHyphen/>
      </w:r>
      <w:r>
        <w:rPr>
          <w:rFonts w:cs="B Lotus" w:hint="cs"/>
          <w:rtl/>
        </w:rPr>
        <w:t>اند</w:t>
      </w:r>
      <w:r w:rsidRPr="00262069">
        <w:rPr>
          <w:rFonts w:cs="B Lotus" w:hint="cs"/>
          <w:rtl/>
        </w:rPr>
        <w:t>. آنها نشان دادند که برای راه حل بهینه محیط زیست یکسان است و در مقایسه با یک مشکل عینی اقتصادی، متفاوت است. عواقب تصمیم گیری در مورد صادرات آلاینده های خروجی به محله و یا نیاز به تکمیل تولید انرژی با خرید برق از شبکه برق، شاید یک کار مهم در دهه های آینده در نظر گرفته شود</w:t>
      </w:r>
      <w:r w:rsidRPr="00262069">
        <w:rPr>
          <w:rFonts w:cs="B Lotus"/>
          <w:rtl/>
        </w:rPr>
        <w:fldChar w:fldCharType="begin" w:fldLock="1"/>
      </w:r>
      <w:r>
        <w:rPr>
          <w:rFonts w:cs="B Lotus"/>
        </w:rPr>
        <w:instrText>ADDIN CSL_CITATION { "citationItems" : [ { "id" : "ITEM-1", "itemData" : { "DOI" : "10.1016/j.apenergy.2012.12.022", "ISBN" : "0306-2619", "ISSN" : "03062619", "abstract" : "The urbanization of modern societies has imposed to the planners and decision-makers a more precise attention to facts not considered before. Several aspects, such as the energy availability and the deleterious effect of pollution on the populations, must be considered in the policy decisions of cities urbanization. The current paradigm presents centralized power stations supplying a city, and a combination of technologies may compose the energy mix of a country, such as thermal power plants, hydroelectric plants, wind systems and solar-based systems, with their corresponding emission pattern. A goal programming multi-objective optimization model is presented for the electric expansion analysis of a tropical city, and also a case study for the city of Guaratinguet\u00e1, Brazil, considering a particular wind and solar radiation patterns established according to actual data and modeled via the time series analysis method. Scenarios are proposed and the results of single environmental objective, single economic objective and goal programming multi-objective modeling are discussed. The consequences of each dispatch decision, which considers pollutant emission exportation to the neighborhood or the need of supplementing electricity by purchasing it from the public electric power grid, are discussed. The results revealed energetic dispatch for the alternatives studied and the optimum environmental and economic solution was obtained. \u00a9 2012 Elsevier Ltd.", "author" : [ { "dropping-particle" : "", "family" : "Sampaio", "given" : "Henrique C\u00e9sar", "non-dropping-particle" : "", "parse-names" : false, "suffix" : "" }, { "dropping-particle" : "", "family" : "Dias", "given" : "Rubens Alves", "non-dropping-particle" : "", "parse-names" : false, "suffix" : "" }, { "dropping-particle" : "", "family" : "Balestieri", "given" : "Jos\u00e9 Ant\u00f4nio Perrella", "non-dropping-particle" : "", "parse-names" : false, "suffix" : "" } ], "container-title" : "Applied Energy", "id" : "ITEM-1", "issued" : { "date-parts" : [ [ "2013" ] ] }, "page" : "924-935", "title" : "Sustainable urban energy planning: The case study of a tropical city", "type" : "article-journal", "volume" : "104" }, "uris" : [ "http://www.mendeley.com/documents/?uuid=1f6476ba-4c7d-49b5-9719-90f23a9bd6d7" ] } ], "mendeley" : { "formattedCitation" : "(Sampaio, Dias, &amp; Balestieri, 2013)", "plainTextFormattedCitation" : "(Sampaio, Dias, &amp; Balestieri, 2013)", "previouslyFormattedCitation" : "(Sampaio, Dias, &amp; Balestieri, 2013)" }, "properties" : {  }, "schema" : "https://github.com/citation-style-language/schema/raw/master/csl-citation.json" }</w:instrText>
      </w:r>
      <w:r w:rsidRPr="00262069">
        <w:rPr>
          <w:rFonts w:cs="B Lotus"/>
          <w:rtl/>
        </w:rPr>
        <w:fldChar w:fldCharType="separate"/>
      </w:r>
      <w:r w:rsidRPr="00BB5C08">
        <w:rPr>
          <w:rFonts w:cs="B Lotus"/>
          <w:noProof/>
        </w:rPr>
        <w:t>(Sampaio, Dias, &amp; Balestieri, 2013)</w:t>
      </w:r>
      <w:r w:rsidRPr="00262069">
        <w:rPr>
          <w:rFonts w:cs="B Lotus"/>
          <w:rtl/>
        </w:rPr>
        <w:fldChar w:fldCharType="end"/>
      </w:r>
      <w:r w:rsidRPr="00262069">
        <w:rPr>
          <w:rFonts w:cs="B Lotus"/>
          <w:rtl/>
        </w:rPr>
        <w:t>..</w:t>
      </w:r>
    </w:p>
    <w:p w14:paraId="63875CD9" w14:textId="77777777" w:rsidR="00305B75" w:rsidRDefault="00305B75" w:rsidP="002F0D7F">
      <w:pPr>
        <w:bidi/>
        <w:rPr>
          <w:rFonts w:cs="Arial"/>
        </w:rPr>
      </w:pPr>
      <w:r>
        <w:rPr>
          <w:rtl/>
        </w:rPr>
        <w:t>این مقاله خلاصه ای از گرایش های انرژی جهانی را با توجه به هزینه های انرژی، مصرف انرژی و انتشار دی اکسید کربن ارائه می دهد. دوم، بررسی کارهای معاصر با توجه به مسیرهای ملی انرژی با موارد ایرلند، دانمارک و اردن، مسائل فضایی در برنامه ریزی انرژی پایدار و سیاست گذاری برای پیشبرد آینده انرژی پایدار ارائه شده است</w:t>
      </w:r>
      <w:r>
        <w:rPr>
          <w:rtl/>
        </w:rPr>
        <w:fldChar w:fldCharType="begin" w:fldLock="1"/>
      </w:r>
      <w:r>
        <w:instrText>ADDIN CSL_CITATION { "citationItems" : [ { "id" : "ITEM-1", "itemData" : { "DOI" : "10.5278/IJSEPM.2014.1.1", "ISSN" : "2246 \u2010 2929", "abstract" : "Rising energy costs, anthropogenic climate change, and fossil fuel depletion calls for a concerted effort within energy planning to ensure a sustainable energy future. This article presents an overview of global energy trends focusing on energy costs, energy use and carbon dioxide emissions. Secondly, a review of contemporary work is presented focusing on national energy pathways with cases from Ireland, Denmark and Jordan, spatial issues within sustainable energyplanning and policy means to advance a sustainable energy future.", "author" : [ { "dropping-particle" : "", "family" : "\u00d8stergaard", "given" : "Poul Alberg", "non-dropping-particle" : "", "parse-names" : false, "suffix" : "" }, { "dropping-particle" : "", "family" : "Sperling", "given" : "Karl", "non-dropping-particle" : "", "parse-names" : false, "suffix" : "" } ], "container-title" : "International Journal of Sustainable Energy Planning and Management", "id" : "ITEM-1", "issue" : "0", "issued" : { "date-parts" : [ [ "2014" ] ] }, "page" : "1-5", "title" : "Towards Sustainable Energy Planning and Management", "type" : "article-journal", "volume" : "1" }, "uris" : [ "http://www.mendeley.com/documents/?uuid=4ef50362-9f30-456a-8e9c-7a822e61fbf5" ] } ], "mendeley" : { "formattedCitation" : "(\u00d8stergaard &amp; Sperling, 2014)", "plainTextFormattedCitation" : "(\u00d8stergaard &amp; Sperling, 2014)", "previouslyFormattedCitation" : "(\u00d8stergaard &amp; Sperling, 2014)" }, "properties" : {  }, "schema" : "https://github.com/citation-style-language/schema/raw/master/csl-citation.json" }</w:instrText>
      </w:r>
      <w:r>
        <w:rPr>
          <w:rtl/>
        </w:rPr>
        <w:fldChar w:fldCharType="separate"/>
      </w:r>
      <w:r w:rsidRPr="00305B75">
        <w:rPr>
          <w:noProof/>
        </w:rPr>
        <w:t>(</w:t>
      </w:r>
      <w:bookmarkStart w:id="5" w:name="_GoBack"/>
      <w:r w:rsidRPr="00305B75">
        <w:rPr>
          <w:noProof/>
        </w:rPr>
        <w:t>Østergaard &amp; Sperling, 2014</w:t>
      </w:r>
      <w:bookmarkEnd w:id="5"/>
      <w:r w:rsidRPr="00305B75">
        <w:rPr>
          <w:noProof/>
        </w:rPr>
        <w:t>)</w:t>
      </w:r>
      <w:r>
        <w:rPr>
          <w:rtl/>
        </w:rPr>
        <w:fldChar w:fldCharType="end"/>
      </w:r>
      <w:r>
        <w:rPr>
          <w:rtl/>
        </w:rPr>
        <w:t>.</w:t>
      </w:r>
    </w:p>
    <w:p w14:paraId="5B01E80B" w14:textId="77777777" w:rsidR="007536BF" w:rsidRDefault="007536BF" w:rsidP="002F0D7F">
      <w:pPr>
        <w:bidi/>
        <w:rPr>
          <w:rFonts w:cs="Arial"/>
        </w:rPr>
      </w:pPr>
    </w:p>
    <w:p w14:paraId="732FC775" w14:textId="77777777" w:rsidR="007536BF" w:rsidRDefault="007536BF" w:rsidP="002F0D7F">
      <w:pPr>
        <w:bidi/>
        <w:rPr>
          <w:rFonts w:cs="Arial"/>
        </w:rPr>
      </w:pPr>
    </w:p>
    <w:p w14:paraId="0B03CF10" w14:textId="77777777" w:rsidR="00051559" w:rsidRPr="00051559" w:rsidRDefault="007536BF" w:rsidP="002F0D7F">
      <w:pPr>
        <w:widowControl w:val="0"/>
        <w:autoSpaceDE w:val="0"/>
        <w:autoSpaceDN w:val="0"/>
        <w:bidi/>
        <w:adjustRightInd w:val="0"/>
        <w:spacing w:line="240" w:lineRule="auto"/>
        <w:ind w:left="480" w:hanging="480"/>
        <w:rPr>
          <w:rFonts w:ascii="Calibri" w:hAnsi="Calibri" w:cs="Times New Roman"/>
          <w:noProof/>
          <w:szCs w:val="24"/>
        </w:rPr>
      </w:pPr>
      <w:r>
        <w:rPr>
          <w:rtl/>
        </w:rPr>
        <w:fldChar w:fldCharType="begin" w:fldLock="1"/>
      </w:r>
      <w:r>
        <w:instrText>ADDIN Mendeley Bibliography CSL_BIBLIOGRAPHY</w:instrText>
      </w:r>
      <w:r>
        <w:rPr>
          <w:rtl/>
        </w:rPr>
        <w:instrText xml:space="preserve"> </w:instrText>
      </w:r>
      <w:r>
        <w:rPr>
          <w:rtl/>
        </w:rPr>
        <w:fldChar w:fldCharType="separate"/>
      </w:r>
      <w:r w:rsidR="00051559" w:rsidRPr="00051559">
        <w:rPr>
          <w:rFonts w:ascii="Calibri" w:hAnsi="Calibri" w:cs="Times New Roman"/>
          <w:noProof/>
          <w:szCs w:val="24"/>
        </w:rPr>
        <w:t xml:space="preserve">ACGustafsson, S., Ivner, J., &amp; Palm, J. (2015). Management and stakeholder participation in local strategic energy planning - Examples from Sweden. </w:t>
      </w:r>
      <w:r w:rsidR="00051559" w:rsidRPr="00051559">
        <w:rPr>
          <w:rFonts w:ascii="Calibri" w:hAnsi="Calibri" w:cs="Times New Roman"/>
          <w:i/>
          <w:iCs/>
          <w:noProof/>
          <w:szCs w:val="24"/>
        </w:rPr>
        <w:t>Journal of Cleaner Production</w:t>
      </w:r>
      <w:r w:rsidR="00051559" w:rsidRPr="00051559">
        <w:rPr>
          <w:rFonts w:ascii="Calibri" w:hAnsi="Calibri" w:cs="Times New Roman"/>
          <w:noProof/>
          <w:szCs w:val="24"/>
        </w:rPr>
        <w:t xml:space="preserve">, </w:t>
      </w:r>
      <w:r w:rsidR="00051559" w:rsidRPr="00051559">
        <w:rPr>
          <w:rFonts w:ascii="Calibri" w:hAnsi="Calibri" w:cs="Times New Roman"/>
          <w:i/>
          <w:iCs/>
          <w:noProof/>
          <w:szCs w:val="24"/>
        </w:rPr>
        <w:t>98</w:t>
      </w:r>
      <w:r w:rsidR="00051559" w:rsidRPr="00051559">
        <w:rPr>
          <w:rFonts w:ascii="Calibri" w:hAnsi="Calibri" w:cs="Times New Roman"/>
          <w:noProof/>
          <w:szCs w:val="24"/>
        </w:rPr>
        <w:t>, 205–212. https://doi.org/10.1016/j.jclepro.2014.08.014</w:t>
      </w:r>
    </w:p>
    <w:p w14:paraId="2C2B6085"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Ahmed, S., Elsholkami, M., Elkamel, A., Du, J., Ydstie, E. B., &amp; Douglas, P. L. (2015). New technology integration approach for energy planning with carbon emission considerations. </w:t>
      </w:r>
      <w:r w:rsidRPr="00051559">
        <w:rPr>
          <w:rFonts w:ascii="Calibri" w:hAnsi="Calibri" w:cs="Times New Roman"/>
          <w:i/>
          <w:iCs/>
          <w:noProof/>
          <w:szCs w:val="24"/>
        </w:rPr>
        <w:t>Energy Conversion and Management</w:t>
      </w:r>
      <w:r w:rsidRPr="00051559">
        <w:rPr>
          <w:rFonts w:ascii="Calibri" w:hAnsi="Calibri" w:cs="Times New Roman"/>
          <w:noProof/>
          <w:szCs w:val="24"/>
        </w:rPr>
        <w:t xml:space="preserve">, </w:t>
      </w:r>
      <w:r w:rsidRPr="00051559">
        <w:rPr>
          <w:rFonts w:ascii="Calibri" w:hAnsi="Calibri" w:cs="Times New Roman"/>
          <w:i/>
          <w:iCs/>
          <w:noProof/>
          <w:szCs w:val="24"/>
        </w:rPr>
        <w:t>95</w:t>
      </w:r>
      <w:r w:rsidRPr="00051559">
        <w:rPr>
          <w:rFonts w:ascii="Calibri" w:hAnsi="Calibri" w:cs="Times New Roman"/>
          <w:noProof/>
          <w:szCs w:val="24"/>
        </w:rPr>
        <w:t>, 170–180. https://doi.org/10.1016/j.enconman.2015.02.029</w:t>
      </w:r>
    </w:p>
    <w:p w14:paraId="1722A1A4"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Alarcon-Rodriguez, A., Ault, G., &amp; Galloway, S. (2010). Multi-objective planning of distributed energy resources: A review of the state-of-the-art. </w:t>
      </w:r>
      <w:r w:rsidRPr="00051559">
        <w:rPr>
          <w:rFonts w:ascii="Calibri" w:hAnsi="Calibri" w:cs="Times New Roman"/>
          <w:i/>
          <w:iCs/>
          <w:noProof/>
          <w:szCs w:val="24"/>
        </w:rPr>
        <w:t>Renewable and Sustainable Energy Reviews</w:t>
      </w:r>
      <w:r w:rsidRPr="00051559">
        <w:rPr>
          <w:rFonts w:ascii="Calibri" w:hAnsi="Calibri" w:cs="Times New Roman"/>
          <w:noProof/>
          <w:szCs w:val="24"/>
        </w:rPr>
        <w:t xml:space="preserve">, </w:t>
      </w:r>
      <w:r w:rsidRPr="00051559">
        <w:rPr>
          <w:rFonts w:ascii="Calibri" w:hAnsi="Calibri" w:cs="Times New Roman"/>
          <w:i/>
          <w:iCs/>
          <w:noProof/>
          <w:szCs w:val="24"/>
        </w:rPr>
        <w:t>14</w:t>
      </w:r>
      <w:r w:rsidRPr="00051559">
        <w:rPr>
          <w:rFonts w:ascii="Calibri" w:hAnsi="Calibri" w:cs="Times New Roman"/>
          <w:noProof/>
          <w:szCs w:val="24"/>
        </w:rPr>
        <w:t>(5), 1353–1366. https://doi.org/10.1016/j.rser.2010.01.006</w:t>
      </w:r>
    </w:p>
    <w:p w14:paraId="269FC375"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Antunes, C. H., Coelho, D., &amp; Martins, A. G. (2010). Using SSM for structuring decision support in urban energy planning. </w:t>
      </w:r>
      <w:r w:rsidRPr="00051559">
        <w:rPr>
          <w:rFonts w:ascii="Calibri" w:hAnsi="Calibri" w:cs="Times New Roman"/>
          <w:i/>
          <w:iCs/>
          <w:noProof/>
          <w:szCs w:val="24"/>
        </w:rPr>
        <w:t>Technological and Economic Development of Economy</w:t>
      </w:r>
      <w:r w:rsidRPr="00051559">
        <w:rPr>
          <w:rFonts w:ascii="Calibri" w:hAnsi="Calibri" w:cs="Times New Roman"/>
          <w:noProof/>
          <w:szCs w:val="24"/>
        </w:rPr>
        <w:t xml:space="preserve">, </w:t>
      </w:r>
      <w:r w:rsidRPr="00051559">
        <w:rPr>
          <w:rFonts w:ascii="Calibri" w:hAnsi="Calibri" w:cs="Times New Roman"/>
          <w:i/>
          <w:iCs/>
          <w:noProof/>
          <w:szCs w:val="24"/>
        </w:rPr>
        <w:t>16</w:t>
      </w:r>
      <w:r w:rsidRPr="00051559">
        <w:rPr>
          <w:rFonts w:ascii="Calibri" w:hAnsi="Calibri" w:cs="Times New Roman"/>
          <w:noProof/>
          <w:szCs w:val="24"/>
        </w:rPr>
        <w:t>(4), 641. https://doi.org/10.3846/tede.2010.39</w:t>
      </w:r>
    </w:p>
    <w:p w14:paraId="5A1A1FCB"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Björklund, A. (2012). Life cycle assessment as an analytical tool in strategic environmental assessment. Lessons learned from a case study on municipal energy planning in Sweden. </w:t>
      </w:r>
      <w:r w:rsidRPr="00051559">
        <w:rPr>
          <w:rFonts w:ascii="Calibri" w:hAnsi="Calibri" w:cs="Times New Roman"/>
          <w:i/>
          <w:iCs/>
          <w:noProof/>
          <w:szCs w:val="24"/>
        </w:rPr>
        <w:t>Environmental Impact Assessment Review</w:t>
      </w:r>
      <w:r w:rsidRPr="00051559">
        <w:rPr>
          <w:rFonts w:ascii="Calibri" w:hAnsi="Calibri" w:cs="Times New Roman"/>
          <w:noProof/>
          <w:szCs w:val="24"/>
        </w:rPr>
        <w:t xml:space="preserve">, </w:t>
      </w:r>
      <w:r w:rsidRPr="00051559">
        <w:rPr>
          <w:rFonts w:ascii="Calibri" w:hAnsi="Calibri" w:cs="Times New Roman"/>
          <w:i/>
          <w:iCs/>
          <w:noProof/>
          <w:szCs w:val="24"/>
        </w:rPr>
        <w:t>32</w:t>
      </w:r>
      <w:r w:rsidRPr="00051559">
        <w:rPr>
          <w:rFonts w:ascii="Calibri" w:hAnsi="Calibri" w:cs="Times New Roman"/>
          <w:noProof/>
          <w:szCs w:val="24"/>
        </w:rPr>
        <w:t>(1), 82–87. https://doi.org/10.1016/j.eiar.2011.04.001</w:t>
      </w:r>
    </w:p>
    <w:p w14:paraId="374282BE"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Bridges, A., Felder, F. A., McKelvey, K., &amp; Niyogi, I. (2015). Uncertainty in energy planning: Estimating the health impacts of air pollution from fossil fuel electricity generation. </w:t>
      </w:r>
      <w:r w:rsidRPr="00051559">
        <w:rPr>
          <w:rFonts w:ascii="Calibri" w:hAnsi="Calibri" w:cs="Times New Roman"/>
          <w:i/>
          <w:iCs/>
          <w:noProof/>
          <w:szCs w:val="24"/>
        </w:rPr>
        <w:t>Energy Research and Social Science</w:t>
      </w:r>
      <w:r w:rsidRPr="00051559">
        <w:rPr>
          <w:rFonts w:ascii="Calibri" w:hAnsi="Calibri" w:cs="Times New Roman"/>
          <w:noProof/>
          <w:szCs w:val="24"/>
        </w:rPr>
        <w:t xml:space="preserve">, </w:t>
      </w:r>
      <w:r w:rsidRPr="00051559">
        <w:rPr>
          <w:rFonts w:ascii="Calibri" w:hAnsi="Calibri" w:cs="Times New Roman"/>
          <w:i/>
          <w:iCs/>
          <w:noProof/>
          <w:szCs w:val="24"/>
        </w:rPr>
        <w:t>6</w:t>
      </w:r>
      <w:r w:rsidRPr="00051559">
        <w:rPr>
          <w:rFonts w:ascii="Calibri" w:hAnsi="Calibri" w:cs="Times New Roman"/>
          <w:noProof/>
          <w:szCs w:val="24"/>
        </w:rPr>
        <w:t>, 74–77. https://doi.org/10.1016/j.erss.2014.12.002</w:t>
      </w:r>
    </w:p>
    <w:p w14:paraId="0D9E7E41"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Brookshire, D., &amp; Kaza, N. (2013). Planning for seven generations: Energy planning of American Indian tribes. </w:t>
      </w:r>
      <w:r w:rsidRPr="00051559">
        <w:rPr>
          <w:rFonts w:ascii="Calibri" w:hAnsi="Calibri" w:cs="Times New Roman"/>
          <w:i/>
          <w:iCs/>
          <w:noProof/>
          <w:szCs w:val="24"/>
        </w:rPr>
        <w:t>Energy Policy</w:t>
      </w:r>
      <w:r w:rsidRPr="00051559">
        <w:rPr>
          <w:rFonts w:ascii="Calibri" w:hAnsi="Calibri" w:cs="Times New Roman"/>
          <w:noProof/>
          <w:szCs w:val="24"/>
        </w:rPr>
        <w:t xml:space="preserve">, </w:t>
      </w:r>
      <w:r w:rsidRPr="00051559">
        <w:rPr>
          <w:rFonts w:ascii="Calibri" w:hAnsi="Calibri" w:cs="Times New Roman"/>
          <w:i/>
          <w:iCs/>
          <w:noProof/>
          <w:szCs w:val="24"/>
        </w:rPr>
        <w:t>62</w:t>
      </w:r>
      <w:r w:rsidRPr="00051559">
        <w:rPr>
          <w:rFonts w:ascii="Calibri" w:hAnsi="Calibri" w:cs="Times New Roman"/>
          <w:noProof/>
          <w:szCs w:val="24"/>
        </w:rPr>
        <w:t>, 1506–1514. https://doi.org/10.1016/j.enpol.2013.07.021</w:t>
      </w:r>
    </w:p>
    <w:p w14:paraId="145E452E"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Cajot, S., Peter, M., Bahu, J.-M., Guignet, F., Koch, A., &amp; Maréchal, F. (2017). Obstacles in energy planning at the urban scale. </w:t>
      </w:r>
      <w:r w:rsidRPr="00051559">
        <w:rPr>
          <w:rFonts w:ascii="Calibri" w:hAnsi="Calibri" w:cs="Times New Roman"/>
          <w:i/>
          <w:iCs/>
          <w:noProof/>
          <w:szCs w:val="24"/>
        </w:rPr>
        <w:t>Sustainable Cities and Society</w:t>
      </w:r>
      <w:r w:rsidRPr="00051559">
        <w:rPr>
          <w:rFonts w:ascii="Calibri" w:hAnsi="Calibri" w:cs="Times New Roman"/>
          <w:noProof/>
          <w:szCs w:val="24"/>
        </w:rPr>
        <w:t xml:space="preserve">, </w:t>
      </w:r>
      <w:r w:rsidRPr="00051559">
        <w:rPr>
          <w:rFonts w:ascii="Calibri" w:hAnsi="Calibri" w:cs="Times New Roman"/>
          <w:i/>
          <w:iCs/>
          <w:noProof/>
          <w:szCs w:val="24"/>
        </w:rPr>
        <w:t>30</w:t>
      </w:r>
      <w:r w:rsidRPr="00051559">
        <w:rPr>
          <w:rFonts w:ascii="Calibri" w:hAnsi="Calibri" w:cs="Times New Roman"/>
          <w:noProof/>
          <w:szCs w:val="24"/>
        </w:rPr>
        <w:t>, 223–236. https://doi.org/10.1016/j.scs.2017.02.003</w:t>
      </w:r>
    </w:p>
    <w:p w14:paraId="7F90A6B6"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DeLlano-Paz, F., Calvo-Silvosa, A., Antelo, S. I., &amp; Soares, I. (2017). Energy planning and modern portfolio theory: A review. </w:t>
      </w:r>
      <w:r w:rsidRPr="00051559">
        <w:rPr>
          <w:rFonts w:ascii="Calibri" w:hAnsi="Calibri" w:cs="Times New Roman"/>
          <w:i/>
          <w:iCs/>
          <w:noProof/>
          <w:szCs w:val="24"/>
        </w:rPr>
        <w:t>Renewable and Sustainable Energy Reviews</w:t>
      </w:r>
      <w:r w:rsidRPr="00051559">
        <w:rPr>
          <w:rFonts w:ascii="Calibri" w:hAnsi="Calibri" w:cs="Times New Roman"/>
          <w:noProof/>
          <w:szCs w:val="24"/>
        </w:rPr>
        <w:t xml:space="preserve">, </w:t>
      </w:r>
      <w:r w:rsidRPr="00051559">
        <w:rPr>
          <w:rFonts w:ascii="Calibri" w:hAnsi="Calibri" w:cs="Times New Roman"/>
          <w:i/>
          <w:iCs/>
          <w:noProof/>
          <w:szCs w:val="24"/>
        </w:rPr>
        <w:t>77</w:t>
      </w:r>
      <w:r w:rsidRPr="00051559">
        <w:rPr>
          <w:rFonts w:ascii="Calibri" w:hAnsi="Calibri" w:cs="Times New Roman"/>
          <w:noProof/>
          <w:szCs w:val="24"/>
        </w:rPr>
        <w:t>(March 2016), 636–651. https://doi.org/10.1016/j.rser.2017.04.045</w:t>
      </w:r>
    </w:p>
    <w:p w14:paraId="6B588C60"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Domac, J., Segon, V., Przulj, I., &amp; Rajic, K. (2011). Regional energy planning methodology, drivers and implementation - Karlovac County case study. </w:t>
      </w:r>
      <w:r w:rsidRPr="00051559">
        <w:rPr>
          <w:rFonts w:ascii="Calibri" w:hAnsi="Calibri" w:cs="Times New Roman"/>
          <w:i/>
          <w:iCs/>
          <w:noProof/>
          <w:szCs w:val="24"/>
        </w:rPr>
        <w:t>Biomass and Bioenergy</w:t>
      </w:r>
      <w:r w:rsidRPr="00051559">
        <w:rPr>
          <w:rFonts w:ascii="Calibri" w:hAnsi="Calibri" w:cs="Times New Roman"/>
          <w:noProof/>
          <w:szCs w:val="24"/>
        </w:rPr>
        <w:t xml:space="preserve">, </w:t>
      </w:r>
      <w:r w:rsidRPr="00051559">
        <w:rPr>
          <w:rFonts w:ascii="Calibri" w:hAnsi="Calibri" w:cs="Times New Roman"/>
          <w:i/>
          <w:iCs/>
          <w:noProof/>
          <w:szCs w:val="24"/>
        </w:rPr>
        <w:t>35</w:t>
      </w:r>
      <w:r w:rsidRPr="00051559">
        <w:rPr>
          <w:rFonts w:ascii="Calibri" w:hAnsi="Calibri" w:cs="Times New Roman"/>
          <w:noProof/>
          <w:szCs w:val="24"/>
        </w:rPr>
        <w:t>(11), 4504–4510. https://doi.org/10.1016/j.biombioe.2011.07.018</w:t>
      </w:r>
    </w:p>
    <w:p w14:paraId="3F0E2D3F"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Gómez, A., Dopazo, C., &amp; Fueyo, N. (2016). The “cost of not doing” energy planning: The Spanish energy bubble. </w:t>
      </w:r>
      <w:r w:rsidRPr="00051559">
        <w:rPr>
          <w:rFonts w:ascii="Calibri" w:hAnsi="Calibri" w:cs="Times New Roman"/>
          <w:i/>
          <w:iCs/>
          <w:noProof/>
          <w:szCs w:val="24"/>
        </w:rPr>
        <w:t>Energy</w:t>
      </w:r>
      <w:r w:rsidRPr="00051559">
        <w:rPr>
          <w:rFonts w:ascii="Calibri" w:hAnsi="Calibri" w:cs="Times New Roman"/>
          <w:noProof/>
          <w:szCs w:val="24"/>
        </w:rPr>
        <w:t xml:space="preserve">, </w:t>
      </w:r>
      <w:r w:rsidRPr="00051559">
        <w:rPr>
          <w:rFonts w:ascii="Calibri" w:hAnsi="Calibri" w:cs="Times New Roman"/>
          <w:i/>
          <w:iCs/>
          <w:noProof/>
          <w:szCs w:val="24"/>
        </w:rPr>
        <w:t>101</w:t>
      </w:r>
      <w:r w:rsidRPr="00051559">
        <w:rPr>
          <w:rFonts w:ascii="Calibri" w:hAnsi="Calibri" w:cs="Times New Roman"/>
          <w:noProof/>
          <w:szCs w:val="24"/>
        </w:rPr>
        <w:t>, 434–446. https://doi.org/10.1016/j.energy.2016.02.004</w:t>
      </w:r>
    </w:p>
    <w:p w14:paraId="1DEA92CB"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Hafez, O., &amp; Bhattacharya, K. (2012). Optimal planning and design of a renewable energy based supply system for microgrids. </w:t>
      </w:r>
      <w:r w:rsidRPr="00051559">
        <w:rPr>
          <w:rFonts w:ascii="Calibri" w:hAnsi="Calibri" w:cs="Times New Roman"/>
          <w:i/>
          <w:iCs/>
          <w:noProof/>
          <w:szCs w:val="24"/>
        </w:rPr>
        <w:t>Renewable Energy</w:t>
      </w:r>
      <w:r w:rsidRPr="00051559">
        <w:rPr>
          <w:rFonts w:ascii="Calibri" w:hAnsi="Calibri" w:cs="Times New Roman"/>
          <w:noProof/>
          <w:szCs w:val="24"/>
        </w:rPr>
        <w:t xml:space="preserve">, </w:t>
      </w:r>
      <w:r w:rsidRPr="00051559">
        <w:rPr>
          <w:rFonts w:ascii="Calibri" w:hAnsi="Calibri" w:cs="Times New Roman"/>
          <w:i/>
          <w:iCs/>
          <w:noProof/>
          <w:szCs w:val="24"/>
        </w:rPr>
        <w:t>45</w:t>
      </w:r>
      <w:r w:rsidRPr="00051559">
        <w:rPr>
          <w:rFonts w:ascii="Calibri" w:hAnsi="Calibri" w:cs="Times New Roman"/>
          <w:noProof/>
          <w:szCs w:val="24"/>
        </w:rPr>
        <w:t>, 7–15. https://doi.org/10.1016/j.renene.2012.01.087</w:t>
      </w:r>
    </w:p>
    <w:p w14:paraId="4B0E4578"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Hiremath, R. B., Kumar, B., Deepak, P., Balachandra, P., Ravindranath, N. H., &amp; Raghunandan, B. N. (2009). Decentralized energy planning through a case study of a typical village in India. </w:t>
      </w:r>
      <w:r w:rsidRPr="00051559">
        <w:rPr>
          <w:rFonts w:ascii="Calibri" w:hAnsi="Calibri" w:cs="Times New Roman"/>
          <w:i/>
          <w:iCs/>
          <w:noProof/>
          <w:szCs w:val="24"/>
        </w:rPr>
        <w:t>Journal of Renewable and Sustainable Energy</w:t>
      </w:r>
      <w:r w:rsidRPr="00051559">
        <w:rPr>
          <w:rFonts w:ascii="Calibri" w:hAnsi="Calibri" w:cs="Times New Roman"/>
          <w:noProof/>
          <w:szCs w:val="24"/>
        </w:rPr>
        <w:t xml:space="preserve">, </w:t>
      </w:r>
      <w:r w:rsidRPr="00051559">
        <w:rPr>
          <w:rFonts w:ascii="Calibri" w:hAnsi="Calibri" w:cs="Times New Roman"/>
          <w:i/>
          <w:iCs/>
          <w:noProof/>
          <w:szCs w:val="24"/>
        </w:rPr>
        <w:t>1</w:t>
      </w:r>
      <w:r w:rsidRPr="00051559">
        <w:rPr>
          <w:rFonts w:ascii="Calibri" w:hAnsi="Calibri" w:cs="Times New Roman"/>
          <w:noProof/>
          <w:szCs w:val="24"/>
        </w:rPr>
        <w:t>(4), 43103. https://doi.org/10.1063/1.3167282</w:t>
      </w:r>
    </w:p>
    <w:p w14:paraId="7D8BF09F"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Huang, Z., Yu, H., Peng, Z., &amp; Feng, Y. (2017). Planning community energy system in the industry 4.0 era: </w:t>
      </w:r>
      <w:r w:rsidRPr="00051559">
        <w:rPr>
          <w:rFonts w:ascii="Calibri" w:hAnsi="Calibri" w:cs="Times New Roman"/>
          <w:noProof/>
          <w:szCs w:val="24"/>
        </w:rPr>
        <w:lastRenderedPageBreak/>
        <w:t xml:space="preserve">Achievements, challenges and a potential solution. </w:t>
      </w:r>
      <w:r w:rsidRPr="00051559">
        <w:rPr>
          <w:rFonts w:ascii="Calibri" w:hAnsi="Calibri" w:cs="Times New Roman"/>
          <w:i/>
          <w:iCs/>
          <w:noProof/>
          <w:szCs w:val="24"/>
        </w:rPr>
        <w:t>Renewable and Sustainable Energy Reviews</w:t>
      </w:r>
      <w:r w:rsidRPr="00051559">
        <w:rPr>
          <w:rFonts w:ascii="Calibri" w:hAnsi="Calibri" w:cs="Times New Roman"/>
          <w:noProof/>
          <w:szCs w:val="24"/>
        </w:rPr>
        <w:t xml:space="preserve">, </w:t>
      </w:r>
      <w:r w:rsidRPr="00051559">
        <w:rPr>
          <w:rFonts w:ascii="Calibri" w:hAnsi="Calibri" w:cs="Times New Roman"/>
          <w:i/>
          <w:iCs/>
          <w:noProof/>
          <w:szCs w:val="24"/>
        </w:rPr>
        <w:t>78</w:t>
      </w:r>
      <w:r w:rsidRPr="00051559">
        <w:rPr>
          <w:rFonts w:ascii="Calibri" w:hAnsi="Calibri" w:cs="Times New Roman"/>
          <w:noProof/>
          <w:szCs w:val="24"/>
        </w:rPr>
        <w:t>(June 2016), 710–721. https://doi.org/10.1016/j.rser.2017.04.004</w:t>
      </w:r>
    </w:p>
    <w:p w14:paraId="7C9AF068"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Kahraman, C., &amp; Kaya, I. (2010). A fuzzy multicriteria methodology for selection among energy alternatives. </w:t>
      </w:r>
      <w:r w:rsidRPr="00051559">
        <w:rPr>
          <w:rFonts w:ascii="Calibri" w:hAnsi="Calibri" w:cs="Times New Roman"/>
          <w:i/>
          <w:iCs/>
          <w:noProof/>
          <w:szCs w:val="24"/>
        </w:rPr>
        <w:t>Expert Systems with Applications</w:t>
      </w:r>
      <w:r w:rsidRPr="00051559">
        <w:rPr>
          <w:rFonts w:ascii="Calibri" w:hAnsi="Calibri" w:cs="Times New Roman"/>
          <w:noProof/>
          <w:szCs w:val="24"/>
        </w:rPr>
        <w:t xml:space="preserve">, </w:t>
      </w:r>
      <w:r w:rsidRPr="00051559">
        <w:rPr>
          <w:rFonts w:ascii="Calibri" w:hAnsi="Calibri" w:cs="Times New Roman"/>
          <w:i/>
          <w:iCs/>
          <w:noProof/>
          <w:szCs w:val="24"/>
        </w:rPr>
        <w:t>37</w:t>
      </w:r>
      <w:r w:rsidRPr="00051559">
        <w:rPr>
          <w:rFonts w:ascii="Calibri" w:hAnsi="Calibri" w:cs="Times New Roman"/>
          <w:noProof/>
          <w:szCs w:val="24"/>
        </w:rPr>
        <w:t>(9), 6270–6281. https://doi.org/10.1016/j.eswa.2010.02.095</w:t>
      </w:r>
    </w:p>
    <w:p w14:paraId="5F05AE4E"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Kaya, T., &amp; Kahraman, C. (2010). Multicriteria renewable energy planning using an integrated fuzzy VIKOR &amp; AHP methodology: The case of Istanbul. </w:t>
      </w:r>
      <w:r w:rsidRPr="00051559">
        <w:rPr>
          <w:rFonts w:ascii="Calibri" w:hAnsi="Calibri" w:cs="Times New Roman"/>
          <w:i/>
          <w:iCs/>
          <w:noProof/>
          <w:szCs w:val="24"/>
        </w:rPr>
        <w:t>Energy</w:t>
      </w:r>
      <w:r w:rsidRPr="00051559">
        <w:rPr>
          <w:rFonts w:ascii="Calibri" w:hAnsi="Calibri" w:cs="Times New Roman"/>
          <w:noProof/>
          <w:szCs w:val="24"/>
        </w:rPr>
        <w:t xml:space="preserve">, </w:t>
      </w:r>
      <w:r w:rsidRPr="00051559">
        <w:rPr>
          <w:rFonts w:ascii="Calibri" w:hAnsi="Calibri" w:cs="Times New Roman"/>
          <w:i/>
          <w:iCs/>
          <w:noProof/>
          <w:szCs w:val="24"/>
        </w:rPr>
        <w:t>35</w:t>
      </w:r>
      <w:r w:rsidRPr="00051559">
        <w:rPr>
          <w:rFonts w:ascii="Calibri" w:hAnsi="Calibri" w:cs="Times New Roman"/>
          <w:noProof/>
          <w:szCs w:val="24"/>
        </w:rPr>
        <w:t>(6), 2517–2527. https://doi.org/10.1016/j.energy.2010.02.051</w:t>
      </w:r>
    </w:p>
    <w:p w14:paraId="77FCCF28"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Kostevšek, A., Petek, J., Čuček, L., &amp; Pivec, A. (2013). Conceptual design of a municipal energy and environmental system asan efficient basis for advanced energy planning. </w:t>
      </w:r>
      <w:r w:rsidRPr="00051559">
        <w:rPr>
          <w:rFonts w:ascii="Calibri" w:hAnsi="Calibri" w:cs="Times New Roman"/>
          <w:i/>
          <w:iCs/>
          <w:noProof/>
          <w:szCs w:val="24"/>
        </w:rPr>
        <w:t>Energy</w:t>
      </w:r>
      <w:r w:rsidRPr="00051559">
        <w:rPr>
          <w:rFonts w:ascii="Calibri" w:hAnsi="Calibri" w:cs="Times New Roman"/>
          <w:noProof/>
          <w:szCs w:val="24"/>
        </w:rPr>
        <w:t xml:space="preserve">, </w:t>
      </w:r>
      <w:r w:rsidRPr="00051559">
        <w:rPr>
          <w:rFonts w:ascii="Calibri" w:hAnsi="Calibri" w:cs="Times New Roman"/>
          <w:i/>
          <w:iCs/>
          <w:noProof/>
          <w:szCs w:val="24"/>
        </w:rPr>
        <w:t>60</w:t>
      </w:r>
      <w:r w:rsidRPr="00051559">
        <w:rPr>
          <w:rFonts w:ascii="Calibri" w:hAnsi="Calibri" w:cs="Times New Roman"/>
          <w:noProof/>
          <w:szCs w:val="24"/>
        </w:rPr>
        <w:t>, 148–158. https://doi.org/10.1016/j.energy.2013.07.044</w:t>
      </w:r>
    </w:p>
    <w:p w14:paraId="38A43628"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Kowalski, K., Stagl, S., Madlener, R., &amp; Omann, I. (2009). Sustainable energy futures: Methodological challenges in combining scenarios and participatory multi-criteria analysis. </w:t>
      </w:r>
      <w:r w:rsidRPr="00051559">
        <w:rPr>
          <w:rFonts w:ascii="Calibri" w:hAnsi="Calibri" w:cs="Times New Roman"/>
          <w:i/>
          <w:iCs/>
          <w:noProof/>
          <w:szCs w:val="24"/>
        </w:rPr>
        <w:t>European Journal of Operational Research</w:t>
      </w:r>
      <w:r w:rsidRPr="00051559">
        <w:rPr>
          <w:rFonts w:ascii="Calibri" w:hAnsi="Calibri" w:cs="Times New Roman"/>
          <w:noProof/>
          <w:szCs w:val="24"/>
        </w:rPr>
        <w:t xml:space="preserve">, </w:t>
      </w:r>
      <w:r w:rsidRPr="00051559">
        <w:rPr>
          <w:rFonts w:ascii="Calibri" w:hAnsi="Calibri" w:cs="Times New Roman"/>
          <w:i/>
          <w:iCs/>
          <w:noProof/>
          <w:szCs w:val="24"/>
        </w:rPr>
        <w:t>197</w:t>
      </w:r>
      <w:r w:rsidRPr="00051559">
        <w:rPr>
          <w:rFonts w:ascii="Calibri" w:hAnsi="Calibri" w:cs="Times New Roman"/>
          <w:noProof/>
          <w:szCs w:val="24"/>
        </w:rPr>
        <w:t>(3), 1063–1074. https://doi.org/10.1016/j.ejor.2007.12.049</w:t>
      </w:r>
    </w:p>
    <w:p w14:paraId="0EBE637E"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Lee, N. C. (2016). Decision support methodology for national energy planning in developing countries: An implementation focused approach, (August).</w:t>
      </w:r>
    </w:p>
    <w:p w14:paraId="38FB8CC6"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Lund, H. (2007). Renewable energy strategies for sustainable development. </w:t>
      </w:r>
      <w:r w:rsidRPr="00051559">
        <w:rPr>
          <w:rFonts w:ascii="Calibri" w:hAnsi="Calibri" w:cs="Times New Roman"/>
          <w:i/>
          <w:iCs/>
          <w:noProof/>
          <w:szCs w:val="24"/>
        </w:rPr>
        <w:t>Energy</w:t>
      </w:r>
      <w:r w:rsidRPr="00051559">
        <w:rPr>
          <w:rFonts w:ascii="Calibri" w:hAnsi="Calibri" w:cs="Times New Roman"/>
          <w:noProof/>
          <w:szCs w:val="24"/>
        </w:rPr>
        <w:t xml:space="preserve">, </w:t>
      </w:r>
      <w:r w:rsidRPr="00051559">
        <w:rPr>
          <w:rFonts w:ascii="Calibri" w:hAnsi="Calibri" w:cs="Times New Roman"/>
          <w:i/>
          <w:iCs/>
          <w:noProof/>
          <w:szCs w:val="24"/>
        </w:rPr>
        <w:t>32</w:t>
      </w:r>
      <w:r w:rsidRPr="00051559">
        <w:rPr>
          <w:rFonts w:ascii="Calibri" w:hAnsi="Calibri" w:cs="Times New Roman"/>
          <w:noProof/>
          <w:szCs w:val="24"/>
        </w:rPr>
        <w:t>(6), 912–919. https://doi.org/10.1016/j.energy.2006.10.017</w:t>
      </w:r>
    </w:p>
    <w:p w14:paraId="25546405"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Ma, L., Liu, P., Fu, F., Li, Z., &amp; Ni, W. (2011). Integrated energy strategy for the sustainable development of China. </w:t>
      </w:r>
      <w:r w:rsidRPr="00051559">
        <w:rPr>
          <w:rFonts w:ascii="Calibri" w:hAnsi="Calibri" w:cs="Times New Roman"/>
          <w:i/>
          <w:iCs/>
          <w:noProof/>
          <w:szCs w:val="24"/>
        </w:rPr>
        <w:t>Energy</w:t>
      </w:r>
      <w:r w:rsidRPr="00051559">
        <w:rPr>
          <w:rFonts w:ascii="Calibri" w:hAnsi="Calibri" w:cs="Times New Roman"/>
          <w:noProof/>
          <w:szCs w:val="24"/>
        </w:rPr>
        <w:t xml:space="preserve">, </w:t>
      </w:r>
      <w:r w:rsidRPr="00051559">
        <w:rPr>
          <w:rFonts w:ascii="Calibri" w:hAnsi="Calibri" w:cs="Times New Roman"/>
          <w:i/>
          <w:iCs/>
          <w:noProof/>
          <w:szCs w:val="24"/>
        </w:rPr>
        <w:t>36</w:t>
      </w:r>
      <w:r w:rsidRPr="00051559">
        <w:rPr>
          <w:rFonts w:ascii="Calibri" w:hAnsi="Calibri" w:cs="Times New Roman"/>
          <w:noProof/>
          <w:szCs w:val="24"/>
        </w:rPr>
        <w:t>(2), 1143–1154. https://doi.org/10.1016/j.energy.2010.11.035</w:t>
      </w:r>
    </w:p>
    <w:p w14:paraId="318DD05C"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Markovska, N., Taseska, V., &amp; Pop-Jordanov, J. (2009). SWOT analyses of the national energy sector for sustainable energy development. </w:t>
      </w:r>
      <w:r w:rsidRPr="00051559">
        <w:rPr>
          <w:rFonts w:ascii="Calibri" w:hAnsi="Calibri" w:cs="Times New Roman"/>
          <w:i/>
          <w:iCs/>
          <w:noProof/>
          <w:szCs w:val="24"/>
        </w:rPr>
        <w:t>Energy</w:t>
      </w:r>
      <w:r w:rsidRPr="00051559">
        <w:rPr>
          <w:rFonts w:ascii="Calibri" w:hAnsi="Calibri" w:cs="Times New Roman"/>
          <w:noProof/>
          <w:szCs w:val="24"/>
        </w:rPr>
        <w:t xml:space="preserve">, </w:t>
      </w:r>
      <w:r w:rsidRPr="00051559">
        <w:rPr>
          <w:rFonts w:ascii="Calibri" w:hAnsi="Calibri" w:cs="Times New Roman"/>
          <w:i/>
          <w:iCs/>
          <w:noProof/>
          <w:szCs w:val="24"/>
        </w:rPr>
        <w:t>34</w:t>
      </w:r>
      <w:r w:rsidRPr="00051559">
        <w:rPr>
          <w:rFonts w:ascii="Calibri" w:hAnsi="Calibri" w:cs="Times New Roman"/>
          <w:noProof/>
          <w:szCs w:val="24"/>
        </w:rPr>
        <w:t>(6), 752–756. https://doi.org/10.1016/j.energy.2009.02.006</w:t>
      </w:r>
    </w:p>
    <w:p w14:paraId="287F2A45"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Mourmouris, J. C., &amp; Potolias, C. (2013). A multi-criteria methodology for energy planning and developing renewable energy sources at a regional level: A case study Thassos, Greece. </w:t>
      </w:r>
      <w:r w:rsidRPr="00051559">
        <w:rPr>
          <w:rFonts w:ascii="Calibri" w:hAnsi="Calibri" w:cs="Times New Roman"/>
          <w:i/>
          <w:iCs/>
          <w:noProof/>
          <w:szCs w:val="24"/>
        </w:rPr>
        <w:t>Energy Policy</w:t>
      </w:r>
      <w:r w:rsidRPr="00051559">
        <w:rPr>
          <w:rFonts w:ascii="Calibri" w:hAnsi="Calibri" w:cs="Times New Roman"/>
          <w:noProof/>
          <w:szCs w:val="24"/>
        </w:rPr>
        <w:t xml:space="preserve">, </w:t>
      </w:r>
      <w:r w:rsidRPr="00051559">
        <w:rPr>
          <w:rFonts w:ascii="Calibri" w:hAnsi="Calibri" w:cs="Times New Roman"/>
          <w:i/>
          <w:iCs/>
          <w:noProof/>
          <w:szCs w:val="24"/>
        </w:rPr>
        <w:t>52</w:t>
      </w:r>
      <w:r w:rsidRPr="00051559">
        <w:rPr>
          <w:rFonts w:ascii="Calibri" w:hAnsi="Calibri" w:cs="Times New Roman"/>
          <w:noProof/>
          <w:szCs w:val="24"/>
        </w:rPr>
        <w:t>, 522–530. https://doi.org/10.1016/j.enpol.2012.09.074</w:t>
      </w:r>
    </w:p>
    <w:p w14:paraId="31857288"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Narodoslawsky, M., &amp; Stoeglehner, G. (2010). Planning for Local and Regional Energy Strategies with the Ecological Footprint. </w:t>
      </w:r>
      <w:r w:rsidRPr="00051559">
        <w:rPr>
          <w:rFonts w:ascii="Calibri" w:hAnsi="Calibri" w:cs="Times New Roman"/>
          <w:i/>
          <w:iCs/>
          <w:noProof/>
          <w:szCs w:val="24"/>
        </w:rPr>
        <w:t>Journal of Environmental Policy &amp; Planning</w:t>
      </w:r>
      <w:r w:rsidRPr="00051559">
        <w:rPr>
          <w:rFonts w:ascii="Calibri" w:hAnsi="Calibri" w:cs="Times New Roman"/>
          <w:noProof/>
          <w:szCs w:val="24"/>
        </w:rPr>
        <w:t xml:space="preserve">, </w:t>
      </w:r>
      <w:r w:rsidRPr="00051559">
        <w:rPr>
          <w:rFonts w:ascii="Calibri" w:hAnsi="Calibri" w:cs="Times New Roman"/>
          <w:i/>
          <w:iCs/>
          <w:noProof/>
          <w:szCs w:val="24"/>
        </w:rPr>
        <w:t>12</w:t>
      </w:r>
      <w:r w:rsidRPr="00051559">
        <w:rPr>
          <w:rFonts w:ascii="Calibri" w:hAnsi="Calibri" w:cs="Times New Roman"/>
          <w:noProof/>
          <w:szCs w:val="24"/>
        </w:rPr>
        <w:t>(4), 363–379. https://doi.org/Pii 931112267\r10.1080/1523908x.2010.528885</w:t>
      </w:r>
    </w:p>
    <w:p w14:paraId="6787A099"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Neudoerffer, R. C., Malhotra, P., &amp; Ramanata, P. V. (2001). Participatory rural energy planning in India - a policy context. </w:t>
      </w:r>
      <w:r w:rsidRPr="00051559">
        <w:rPr>
          <w:rFonts w:ascii="Calibri" w:hAnsi="Calibri" w:cs="Times New Roman"/>
          <w:i/>
          <w:iCs/>
          <w:noProof/>
          <w:szCs w:val="24"/>
        </w:rPr>
        <w:t>Energy Policy</w:t>
      </w:r>
      <w:r w:rsidRPr="00051559">
        <w:rPr>
          <w:rFonts w:ascii="Calibri" w:hAnsi="Calibri" w:cs="Times New Roman"/>
          <w:noProof/>
          <w:szCs w:val="24"/>
        </w:rPr>
        <w:t xml:space="preserve">, </w:t>
      </w:r>
      <w:r w:rsidRPr="00051559">
        <w:rPr>
          <w:rFonts w:ascii="Calibri" w:hAnsi="Calibri" w:cs="Times New Roman"/>
          <w:i/>
          <w:iCs/>
          <w:noProof/>
          <w:szCs w:val="24"/>
        </w:rPr>
        <w:t>29</w:t>
      </w:r>
      <w:r w:rsidRPr="00051559">
        <w:rPr>
          <w:rFonts w:ascii="Calibri" w:hAnsi="Calibri" w:cs="Times New Roman"/>
          <w:noProof/>
          <w:szCs w:val="24"/>
        </w:rPr>
        <w:t>, 371–381. https://doi.org/10.1016/S0301-4215(00)00132-4</w:t>
      </w:r>
    </w:p>
    <w:p w14:paraId="5928FB93"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Østergaard, P. A., &amp; Sperling, K. (2014). Towards Sustainable Energy Planning and Management. </w:t>
      </w:r>
      <w:r w:rsidRPr="00051559">
        <w:rPr>
          <w:rFonts w:ascii="Calibri" w:hAnsi="Calibri" w:cs="Times New Roman"/>
          <w:i/>
          <w:iCs/>
          <w:noProof/>
          <w:szCs w:val="24"/>
        </w:rPr>
        <w:t>International Journal of Sustainable Energy Planning and Management</w:t>
      </w:r>
      <w:r w:rsidRPr="00051559">
        <w:rPr>
          <w:rFonts w:ascii="Calibri" w:hAnsi="Calibri" w:cs="Times New Roman"/>
          <w:noProof/>
          <w:szCs w:val="24"/>
        </w:rPr>
        <w:t xml:space="preserve">, </w:t>
      </w:r>
      <w:r w:rsidRPr="00051559">
        <w:rPr>
          <w:rFonts w:ascii="Calibri" w:hAnsi="Calibri" w:cs="Times New Roman"/>
          <w:i/>
          <w:iCs/>
          <w:noProof/>
          <w:szCs w:val="24"/>
        </w:rPr>
        <w:t>1</w:t>
      </w:r>
      <w:r w:rsidRPr="00051559">
        <w:rPr>
          <w:rFonts w:ascii="Calibri" w:hAnsi="Calibri" w:cs="Times New Roman"/>
          <w:noProof/>
          <w:szCs w:val="24"/>
        </w:rPr>
        <w:t>(0), 1–5. https://doi.org/10.5278/IJSEPM.2014.1.1</w:t>
      </w:r>
    </w:p>
    <w:p w14:paraId="1448291F"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Ouhajjou, N., Loibl, W., Fenz, S., &amp; Tjoa, A. M. (2017). Stakeholder-oriented energy planning support in cities. </w:t>
      </w:r>
      <w:r w:rsidRPr="00051559">
        <w:rPr>
          <w:rFonts w:ascii="Calibri" w:hAnsi="Calibri" w:cs="Times New Roman"/>
          <w:i/>
          <w:iCs/>
          <w:noProof/>
          <w:szCs w:val="24"/>
        </w:rPr>
        <w:t>Sustainable Cities and Society</w:t>
      </w:r>
      <w:r w:rsidRPr="00051559">
        <w:rPr>
          <w:rFonts w:ascii="Calibri" w:hAnsi="Calibri" w:cs="Times New Roman"/>
          <w:noProof/>
          <w:szCs w:val="24"/>
        </w:rPr>
        <w:t xml:space="preserve">, </w:t>
      </w:r>
      <w:r w:rsidRPr="00051559">
        <w:rPr>
          <w:rFonts w:ascii="Calibri" w:hAnsi="Calibri" w:cs="Times New Roman"/>
          <w:i/>
          <w:iCs/>
          <w:noProof/>
          <w:szCs w:val="24"/>
        </w:rPr>
        <w:t>28</w:t>
      </w:r>
      <w:r w:rsidRPr="00051559">
        <w:rPr>
          <w:rFonts w:ascii="Calibri" w:hAnsi="Calibri" w:cs="Times New Roman"/>
          <w:noProof/>
          <w:szCs w:val="24"/>
        </w:rPr>
        <w:t>, 482–492. https://doi.org/10.1016/j.scs.2016.08.006</w:t>
      </w:r>
    </w:p>
    <w:p w14:paraId="2F5E4143"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Pasimeni, M. R., Petrosillo, I., Aretano, R., Semeraro, T., De Marco, A., Zaccarelli, N., &amp; Zurlini, G. (2014). Scales, strategies and actions for effective energy planning: A review. </w:t>
      </w:r>
      <w:r w:rsidRPr="00051559">
        <w:rPr>
          <w:rFonts w:ascii="Calibri" w:hAnsi="Calibri" w:cs="Times New Roman"/>
          <w:i/>
          <w:iCs/>
          <w:noProof/>
          <w:szCs w:val="24"/>
        </w:rPr>
        <w:t>Energy Policy</w:t>
      </w:r>
      <w:r w:rsidRPr="00051559">
        <w:rPr>
          <w:rFonts w:ascii="Calibri" w:hAnsi="Calibri" w:cs="Times New Roman"/>
          <w:noProof/>
          <w:szCs w:val="24"/>
        </w:rPr>
        <w:t xml:space="preserve">, </w:t>
      </w:r>
      <w:r w:rsidRPr="00051559">
        <w:rPr>
          <w:rFonts w:ascii="Calibri" w:hAnsi="Calibri" w:cs="Times New Roman"/>
          <w:i/>
          <w:iCs/>
          <w:noProof/>
          <w:szCs w:val="24"/>
        </w:rPr>
        <w:t>65</w:t>
      </w:r>
      <w:r w:rsidRPr="00051559">
        <w:rPr>
          <w:rFonts w:ascii="Calibri" w:hAnsi="Calibri" w:cs="Times New Roman"/>
          <w:noProof/>
          <w:szCs w:val="24"/>
        </w:rPr>
        <w:t>, 165–174. https://doi.org/10.1016/j.enpol.2013.10.027</w:t>
      </w:r>
    </w:p>
    <w:p w14:paraId="4DFA6741"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lastRenderedPageBreak/>
        <w:t xml:space="preserve">Phylip-Jones, J., &amp; Fischer, T. B. (2015). Strategic environmental assessment (SEA) for wind energy planning: Lessons from the United Kingdom and Germany. </w:t>
      </w:r>
      <w:r w:rsidRPr="00051559">
        <w:rPr>
          <w:rFonts w:ascii="Calibri" w:hAnsi="Calibri" w:cs="Times New Roman"/>
          <w:i/>
          <w:iCs/>
          <w:noProof/>
          <w:szCs w:val="24"/>
        </w:rPr>
        <w:t>Environmental Impact Assessment Review</w:t>
      </w:r>
      <w:r w:rsidRPr="00051559">
        <w:rPr>
          <w:rFonts w:ascii="Calibri" w:hAnsi="Calibri" w:cs="Times New Roman"/>
          <w:noProof/>
          <w:szCs w:val="24"/>
        </w:rPr>
        <w:t xml:space="preserve">, </w:t>
      </w:r>
      <w:r w:rsidRPr="00051559">
        <w:rPr>
          <w:rFonts w:ascii="Calibri" w:hAnsi="Calibri" w:cs="Times New Roman"/>
          <w:i/>
          <w:iCs/>
          <w:noProof/>
          <w:szCs w:val="24"/>
        </w:rPr>
        <w:t>50</w:t>
      </w:r>
      <w:r w:rsidRPr="00051559">
        <w:rPr>
          <w:rFonts w:ascii="Calibri" w:hAnsi="Calibri" w:cs="Times New Roman"/>
          <w:noProof/>
          <w:szCs w:val="24"/>
        </w:rPr>
        <w:t>, 203–212. https://doi.org/10.1016/j.eiar.2014.09.013</w:t>
      </w:r>
    </w:p>
    <w:p w14:paraId="1A580022"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Pohekar, S. D., &amp; Ramachandran, M. (2004). Application of multi-criteria decision making to sustainable energy planning - A review. </w:t>
      </w:r>
      <w:r w:rsidRPr="00051559">
        <w:rPr>
          <w:rFonts w:ascii="Calibri" w:hAnsi="Calibri" w:cs="Times New Roman"/>
          <w:i/>
          <w:iCs/>
          <w:noProof/>
          <w:szCs w:val="24"/>
        </w:rPr>
        <w:t>Renewable and Sustainable Energy Reviews</w:t>
      </w:r>
      <w:r w:rsidRPr="00051559">
        <w:rPr>
          <w:rFonts w:ascii="Calibri" w:hAnsi="Calibri" w:cs="Times New Roman"/>
          <w:noProof/>
          <w:szCs w:val="24"/>
        </w:rPr>
        <w:t xml:space="preserve">, </w:t>
      </w:r>
      <w:r w:rsidRPr="00051559">
        <w:rPr>
          <w:rFonts w:ascii="Calibri" w:hAnsi="Calibri" w:cs="Times New Roman"/>
          <w:i/>
          <w:iCs/>
          <w:noProof/>
          <w:szCs w:val="24"/>
        </w:rPr>
        <w:t>8</w:t>
      </w:r>
      <w:r w:rsidRPr="00051559">
        <w:rPr>
          <w:rFonts w:ascii="Calibri" w:hAnsi="Calibri" w:cs="Times New Roman"/>
          <w:noProof/>
          <w:szCs w:val="24"/>
        </w:rPr>
        <w:t>(4), 365–381. https://doi.org/10.1016/j.rser.2003.12.007</w:t>
      </w:r>
    </w:p>
    <w:p w14:paraId="3D09D1D2"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Prebeg, P., Gasparovic, G., Krajacic, G., &amp; Duic, N. (2016). Long-term energy planning of Croatian power system using multi-objective optimization with focus on renewable energy and integration of electric vehicles. </w:t>
      </w:r>
      <w:r w:rsidRPr="00051559">
        <w:rPr>
          <w:rFonts w:ascii="Calibri" w:hAnsi="Calibri" w:cs="Times New Roman"/>
          <w:i/>
          <w:iCs/>
          <w:noProof/>
          <w:szCs w:val="24"/>
        </w:rPr>
        <w:t>Applied Energy</w:t>
      </w:r>
      <w:r w:rsidRPr="00051559">
        <w:rPr>
          <w:rFonts w:ascii="Calibri" w:hAnsi="Calibri" w:cs="Times New Roman"/>
          <w:noProof/>
          <w:szCs w:val="24"/>
        </w:rPr>
        <w:t xml:space="preserve">, </w:t>
      </w:r>
      <w:r w:rsidRPr="00051559">
        <w:rPr>
          <w:rFonts w:ascii="Calibri" w:hAnsi="Calibri" w:cs="Times New Roman"/>
          <w:i/>
          <w:iCs/>
          <w:noProof/>
          <w:szCs w:val="24"/>
        </w:rPr>
        <w:t>184</w:t>
      </w:r>
      <w:r w:rsidRPr="00051559">
        <w:rPr>
          <w:rFonts w:ascii="Calibri" w:hAnsi="Calibri" w:cs="Times New Roman"/>
          <w:noProof/>
          <w:szCs w:val="24"/>
        </w:rPr>
        <w:t>, 1493–1507. https://doi.org/10.1016/j.apenergy.2016.03.086</w:t>
      </w:r>
    </w:p>
    <w:p w14:paraId="3CC34B58"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Robinson, C. (2013). The Return Of Centralised Energy Planning. </w:t>
      </w:r>
      <w:r w:rsidRPr="00051559">
        <w:rPr>
          <w:rFonts w:ascii="Calibri" w:hAnsi="Calibri" w:cs="Times New Roman"/>
          <w:i/>
          <w:iCs/>
          <w:noProof/>
          <w:szCs w:val="24"/>
        </w:rPr>
        <w:t>Economic Affairs</w:t>
      </w:r>
      <w:r w:rsidRPr="00051559">
        <w:rPr>
          <w:rFonts w:ascii="Calibri" w:hAnsi="Calibri" w:cs="Times New Roman"/>
          <w:noProof/>
          <w:szCs w:val="24"/>
        </w:rPr>
        <w:t xml:space="preserve">, </w:t>
      </w:r>
      <w:r w:rsidRPr="00051559">
        <w:rPr>
          <w:rFonts w:ascii="Calibri" w:hAnsi="Calibri" w:cs="Times New Roman"/>
          <w:i/>
          <w:iCs/>
          <w:noProof/>
          <w:szCs w:val="24"/>
        </w:rPr>
        <w:t>33</w:t>
      </w:r>
      <w:r w:rsidRPr="00051559">
        <w:rPr>
          <w:rFonts w:ascii="Calibri" w:hAnsi="Calibri" w:cs="Times New Roman"/>
          <w:noProof/>
          <w:szCs w:val="24"/>
        </w:rPr>
        <w:t>(3), 312–326. https://doi.org/10.1111/ecaf.12040</w:t>
      </w:r>
    </w:p>
    <w:p w14:paraId="2B2E3195"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Rose, W. (2012). Universities of Leeds , Sheffield and York Strategic Energy Planning within Local Authorities in the UK : a.</w:t>
      </w:r>
    </w:p>
    <w:p w14:paraId="2630E6F7"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Roxas, F., &amp; Santiago, A. (2016). Alternative framework for renewable energy planning in the Philippines. </w:t>
      </w:r>
      <w:r w:rsidRPr="00051559">
        <w:rPr>
          <w:rFonts w:ascii="Calibri" w:hAnsi="Calibri" w:cs="Times New Roman"/>
          <w:i/>
          <w:iCs/>
          <w:noProof/>
          <w:szCs w:val="24"/>
        </w:rPr>
        <w:t>Renewable and Sustainable Energy Reviews</w:t>
      </w:r>
      <w:r w:rsidRPr="00051559">
        <w:rPr>
          <w:rFonts w:ascii="Calibri" w:hAnsi="Calibri" w:cs="Times New Roman"/>
          <w:noProof/>
          <w:szCs w:val="24"/>
        </w:rPr>
        <w:t xml:space="preserve">, </w:t>
      </w:r>
      <w:r w:rsidRPr="00051559">
        <w:rPr>
          <w:rFonts w:ascii="Calibri" w:hAnsi="Calibri" w:cs="Times New Roman"/>
          <w:i/>
          <w:iCs/>
          <w:noProof/>
          <w:szCs w:val="24"/>
        </w:rPr>
        <w:t>59</w:t>
      </w:r>
      <w:r w:rsidRPr="00051559">
        <w:rPr>
          <w:rFonts w:ascii="Calibri" w:hAnsi="Calibri" w:cs="Times New Roman"/>
          <w:noProof/>
          <w:szCs w:val="24"/>
        </w:rPr>
        <w:t>, 1396–1404. https://doi.org/10.1016/j.rser.2016.01.084</w:t>
      </w:r>
    </w:p>
    <w:p w14:paraId="3D19504C"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Sampaio, H. C., Dias, R. A., &amp; Balestieri, J. A. P. (2013). Sustainable urban energy planning: The case study of a tropical city. </w:t>
      </w:r>
      <w:r w:rsidRPr="00051559">
        <w:rPr>
          <w:rFonts w:ascii="Calibri" w:hAnsi="Calibri" w:cs="Times New Roman"/>
          <w:i/>
          <w:iCs/>
          <w:noProof/>
          <w:szCs w:val="24"/>
        </w:rPr>
        <w:t>Applied Energy</w:t>
      </w:r>
      <w:r w:rsidRPr="00051559">
        <w:rPr>
          <w:rFonts w:ascii="Calibri" w:hAnsi="Calibri" w:cs="Times New Roman"/>
          <w:noProof/>
          <w:szCs w:val="24"/>
        </w:rPr>
        <w:t xml:space="preserve">, </w:t>
      </w:r>
      <w:r w:rsidRPr="00051559">
        <w:rPr>
          <w:rFonts w:ascii="Calibri" w:hAnsi="Calibri" w:cs="Times New Roman"/>
          <w:i/>
          <w:iCs/>
          <w:noProof/>
          <w:szCs w:val="24"/>
        </w:rPr>
        <w:t>104</w:t>
      </w:r>
      <w:r w:rsidRPr="00051559">
        <w:rPr>
          <w:rFonts w:ascii="Calibri" w:hAnsi="Calibri" w:cs="Times New Roman"/>
          <w:noProof/>
          <w:szCs w:val="24"/>
        </w:rPr>
        <w:t>, 924–935. https://doi.org/10.1016/j.apenergy.2012.12.022</w:t>
      </w:r>
    </w:p>
    <w:p w14:paraId="0F2A40CA"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Shimray, B. A., Manglem, K., &amp; Mehta, R. K. (n.d.). A survey of Multi-Criteria Decision Making Technique used in Renewable Energy Planning, </w:t>
      </w:r>
      <w:r w:rsidRPr="00051559">
        <w:rPr>
          <w:rFonts w:ascii="Calibri" w:hAnsi="Calibri" w:cs="Times New Roman"/>
          <w:i/>
          <w:iCs/>
          <w:noProof/>
          <w:szCs w:val="24"/>
        </w:rPr>
        <w:t>4523</w:t>
      </w:r>
      <w:r w:rsidRPr="00051559">
        <w:rPr>
          <w:rFonts w:ascii="Calibri" w:hAnsi="Calibri" w:cs="Times New Roman"/>
          <w:noProof/>
          <w:szCs w:val="24"/>
        </w:rPr>
        <w:t>(Mcdm), 124–140.</w:t>
      </w:r>
    </w:p>
    <w:p w14:paraId="63043C4E"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Sperling, K., Hvelplund, F., &amp; Mathiesen, B. V. (2011). Centralisation and decentralisation in strategic municipal energy planning in Denmark. </w:t>
      </w:r>
      <w:r w:rsidRPr="00051559">
        <w:rPr>
          <w:rFonts w:ascii="Calibri" w:hAnsi="Calibri" w:cs="Times New Roman"/>
          <w:i/>
          <w:iCs/>
          <w:noProof/>
          <w:szCs w:val="24"/>
        </w:rPr>
        <w:t>Energy Policy</w:t>
      </w:r>
      <w:r w:rsidRPr="00051559">
        <w:rPr>
          <w:rFonts w:ascii="Calibri" w:hAnsi="Calibri" w:cs="Times New Roman"/>
          <w:noProof/>
          <w:szCs w:val="24"/>
        </w:rPr>
        <w:t xml:space="preserve">, </w:t>
      </w:r>
      <w:r w:rsidRPr="00051559">
        <w:rPr>
          <w:rFonts w:ascii="Calibri" w:hAnsi="Calibri" w:cs="Times New Roman"/>
          <w:i/>
          <w:iCs/>
          <w:noProof/>
          <w:szCs w:val="24"/>
        </w:rPr>
        <w:t>39</w:t>
      </w:r>
      <w:r w:rsidRPr="00051559">
        <w:rPr>
          <w:rFonts w:ascii="Calibri" w:hAnsi="Calibri" w:cs="Times New Roman"/>
          <w:noProof/>
          <w:szCs w:val="24"/>
        </w:rPr>
        <w:t>(3), 1338–1351. https://doi.org/10.1016/j.enpol.2010.12.006</w:t>
      </w:r>
    </w:p>
    <w:p w14:paraId="348A5BA5"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Stoeglehner, G., Niemetz, N., &amp; Kettl, K.-H. (2011). Spatial dimensions of sustainable energy systems: new visions for integrated spatial and energy planning. </w:t>
      </w:r>
      <w:r w:rsidRPr="00051559">
        <w:rPr>
          <w:rFonts w:ascii="Calibri" w:hAnsi="Calibri" w:cs="Times New Roman"/>
          <w:i/>
          <w:iCs/>
          <w:noProof/>
          <w:szCs w:val="24"/>
        </w:rPr>
        <w:t>Energy, Sustainability and Society</w:t>
      </w:r>
      <w:r w:rsidRPr="00051559">
        <w:rPr>
          <w:rFonts w:ascii="Calibri" w:hAnsi="Calibri" w:cs="Times New Roman"/>
          <w:noProof/>
          <w:szCs w:val="24"/>
        </w:rPr>
        <w:t xml:space="preserve">, </w:t>
      </w:r>
      <w:r w:rsidRPr="00051559">
        <w:rPr>
          <w:rFonts w:ascii="Calibri" w:hAnsi="Calibri" w:cs="Times New Roman"/>
          <w:i/>
          <w:iCs/>
          <w:noProof/>
          <w:szCs w:val="24"/>
        </w:rPr>
        <w:t>1</w:t>
      </w:r>
      <w:r w:rsidRPr="00051559">
        <w:rPr>
          <w:rFonts w:ascii="Calibri" w:hAnsi="Calibri" w:cs="Times New Roman"/>
          <w:noProof/>
          <w:szCs w:val="24"/>
        </w:rPr>
        <w:t>(2), 1–9. https://doi.org/10.1186/2192-0567-1-2</w:t>
      </w:r>
    </w:p>
    <w:p w14:paraId="3AEAA494"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SUWA, A. (2009). Soft energy paths in Japan: a backcasting approach to energy planning. </w:t>
      </w:r>
      <w:r w:rsidRPr="00051559">
        <w:rPr>
          <w:rFonts w:ascii="Calibri" w:hAnsi="Calibri" w:cs="Times New Roman"/>
          <w:i/>
          <w:iCs/>
          <w:noProof/>
          <w:szCs w:val="24"/>
        </w:rPr>
        <w:t>Climate Policy</w:t>
      </w:r>
      <w:r w:rsidRPr="00051559">
        <w:rPr>
          <w:rFonts w:ascii="Calibri" w:hAnsi="Calibri" w:cs="Times New Roman"/>
          <w:noProof/>
          <w:szCs w:val="24"/>
        </w:rPr>
        <w:t xml:space="preserve">, </w:t>
      </w:r>
      <w:r w:rsidRPr="00051559">
        <w:rPr>
          <w:rFonts w:ascii="Calibri" w:hAnsi="Calibri" w:cs="Times New Roman"/>
          <w:i/>
          <w:iCs/>
          <w:noProof/>
          <w:szCs w:val="24"/>
        </w:rPr>
        <w:t>9</w:t>
      </w:r>
      <w:r w:rsidRPr="00051559">
        <w:rPr>
          <w:rFonts w:ascii="Calibri" w:hAnsi="Calibri" w:cs="Times New Roman"/>
          <w:noProof/>
          <w:szCs w:val="24"/>
        </w:rPr>
        <w:t>(2), 185–206. https://doi.org/10.3763/cpol.2007.0322</w:t>
      </w:r>
    </w:p>
    <w:p w14:paraId="56B8A139"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Thangavelu, S. R., Khambadkone, A. M., &amp; Karimi, I. A. (2015). Long-term optimal energy mix planning towards high energy security and low GHG emission. </w:t>
      </w:r>
      <w:r w:rsidRPr="00051559">
        <w:rPr>
          <w:rFonts w:ascii="Calibri" w:hAnsi="Calibri" w:cs="Times New Roman"/>
          <w:i/>
          <w:iCs/>
          <w:noProof/>
          <w:szCs w:val="24"/>
        </w:rPr>
        <w:t>Applied Energy</w:t>
      </w:r>
      <w:r w:rsidRPr="00051559">
        <w:rPr>
          <w:rFonts w:ascii="Calibri" w:hAnsi="Calibri" w:cs="Times New Roman"/>
          <w:noProof/>
          <w:szCs w:val="24"/>
        </w:rPr>
        <w:t xml:space="preserve">, </w:t>
      </w:r>
      <w:r w:rsidRPr="00051559">
        <w:rPr>
          <w:rFonts w:ascii="Calibri" w:hAnsi="Calibri" w:cs="Times New Roman"/>
          <w:i/>
          <w:iCs/>
          <w:noProof/>
          <w:szCs w:val="24"/>
        </w:rPr>
        <w:t>154</w:t>
      </w:r>
      <w:r w:rsidRPr="00051559">
        <w:rPr>
          <w:rFonts w:ascii="Calibri" w:hAnsi="Calibri" w:cs="Times New Roman"/>
          <w:noProof/>
          <w:szCs w:val="24"/>
        </w:rPr>
        <w:t>, 959–969. https://doi.org/10.1016/j.apenergy.2015.05.087</w:t>
      </w:r>
    </w:p>
    <w:p w14:paraId="040DF149"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Thery, R., &amp; Zarate, P. (2009). Energy planning: A multi-level and multicriteria decision making structure proposal. </w:t>
      </w:r>
      <w:r w:rsidRPr="00051559">
        <w:rPr>
          <w:rFonts w:ascii="Calibri" w:hAnsi="Calibri" w:cs="Times New Roman"/>
          <w:i/>
          <w:iCs/>
          <w:noProof/>
          <w:szCs w:val="24"/>
        </w:rPr>
        <w:t>Central European Journal of Operations Research</w:t>
      </w:r>
      <w:r w:rsidRPr="00051559">
        <w:rPr>
          <w:rFonts w:ascii="Calibri" w:hAnsi="Calibri" w:cs="Times New Roman"/>
          <w:noProof/>
          <w:szCs w:val="24"/>
        </w:rPr>
        <w:t xml:space="preserve">, </w:t>
      </w:r>
      <w:r w:rsidRPr="00051559">
        <w:rPr>
          <w:rFonts w:ascii="Calibri" w:hAnsi="Calibri" w:cs="Times New Roman"/>
          <w:i/>
          <w:iCs/>
          <w:noProof/>
          <w:szCs w:val="24"/>
        </w:rPr>
        <w:t>17</w:t>
      </w:r>
      <w:r w:rsidRPr="00051559">
        <w:rPr>
          <w:rFonts w:ascii="Calibri" w:hAnsi="Calibri" w:cs="Times New Roman"/>
          <w:noProof/>
          <w:szCs w:val="24"/>
        </w:rPr>
        <w:t>(3), 265–274. https://doi.org/10.1007/s10100-009-0091-5</w:t>
      </w:r>
    </w:p>
    <w:p w14:paraId="25EE2E60" w14:textId="77777777" w:rsidR="00051559" w:rsidRPr="00051559" w:rsidRDefault="00051559" w:rsidP="002F0D7F">
      <w:pPr>
        <w:widowControl w:val="0"/>
        <w:autoSpaceDE w:val="0"/>
        <w:autoSpaceDN w:val="0"/>
        <w:bidi/>
        <w:adjustRightInd w:val="0"/>
        <w:spacing w:line="240" w:lineRule="auto"/>
        <w:ind w:left="480" w:hanging="480"/>
        <w:rPr>
          <w:rFonts w:ascii="Calibri" w:hAnsi="Calibri"/>
          <w:noProof/>
        </w:rPr>
      </w:pPr>
      <w:r w:rsidRPr="00051559">
        <w:rPr>
          <w:rFonts w:ascii="Calibri" w:hAnsi="Calibri" w:cs="Times New Roman"/>
          <w:noProof/>
          <w:szCs w:val="24"/>
        </w:rPr>
        <w:t xml:space="preserve">Topcu, Y. I., &amp; Ulengin, F. (2004). Energy for the future: An integrated decision aid for the case of Turkey. </w:t>
      </w:r>
      <w:r w:rsidRPr="00051559">
        <w:rPr>
          <w:rFonts w:ascii="Calibri" w:hAnsi="Calibri" w:cs="Times New Roman"/>
          <w:i/>
          <w:iCs/>
          <w:noProof/>
          <w:szCs w:val="24"/>
        </w:rPr>
        <w:t>Energy</w:t>
      </w:r>
      <w:r w:rsidRPr="00051559">
        <w:rPr>
          <w:rFonts w:ascii="Calibri" w:hAnsi="Calibri" w:cs="Times New Roman"/>
          <w:noProof/>
          <w:szCs w:val="24"/>
        </w:rPr>
        <w:t xml:space="preserve">, </w:t>
      </w:r>
      <w:r w:rsidRPr="00051559">
        <w:rPr>
          <w:rFonts w:ascii="Calibri" w:hAnsi="Calibri" w:cs="Times New Roman"/>
          <w:i/>
          <w:iCs/>
          <w:noProof/>
          <w:szCs w:val="24"/>
        </w:rPr>
        <w:t>29</w:t>
      </w:r>
      <w:r w:rsidRPr="00051559">
        <w:rPr>
          <w:rFonts w:ascii="Calibri" w:hAnsi="Calibri" w:cs="Times New Roman"/>
          <w:noProof/>
          <w:szCs w:val="24"/>
        </w:rPr>
        <w:t>(1), 137–154. https://doi.org/10.1016/S0360-5442(03)00160-9</w:t>
      </w:r>
    </w:p>
    <w:p w14:paraId="3D75DCD6" w14:textId="77777777" w:rsidR="007536BF" w:rsidRDefault="007536BF" w:rsidP="002F0D7F">
      <w:pPr>
        <w:bidi/>
      </w:pPr>
      <w:r>
        <w:rPr>
          <w:rtl/>
        </w:rPr>
        <w:fldChar w:fldCharType="end"/>
      </w:r>
    </w:p>
    <w:sectPr w:rsidR="007536B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zad freeman" w:date="2018-01-18T11:03:00Z" w:initials="af">
    <w:p w14:paraId="2F16672F" w14:textId="77777777" w:rsidR="003D0138" w:rsidRDefault="003D0138" w:rsidP="003D0138">
      <w:pPr>
        <w:pStyle w:val="CommentText"/>
        <w:ind w:firstLine="0"/>
      </w:pPr>
      <w:r>
        <w:rPr>
          <w:rStyle w:val="CommentReference"/>
        </w:rPr>
        <w:annotationRef/>
      </w:r>
      <w:r>
        <w:rPr>
          <w:rFonts w:hint="cs"/>
          <w:rtl/>
        </w:rPr>
        <w:t>انرژی پلن رو هم رویو کرده حتما مراجعه شود</w:t>
      </w:r>
    </w:p>
  </w:comment>
  <w:comment w:id="1" w:author="Azad Nabavi" w:date="2018-01-13T14:04:00Z" w:initials="AN">
    <w:p w14:paraId="0981364B" w14:textId="77777777" w:rsidR="00AB6491" w:rsidRDefault="00AB6491" w:rsidP="00AB6491">
      <w:pPr>
        <w:pStyle w:val="CommentText"/>
        <w:ind w:firstLine="0"/>
      </w:pPr>
      <w:r>
        <w:rPr>
          <w:rStyle w:val="CommentReference"/>
        </w:rPr>
        <w:annotationRef/>
      </w:r>
      <w:r>
        <w:rPr>
          <w:rFonts w:hint="cs"/>
          <w:rtl/>
        </w:rPr>
        <w:t>بالا به پایین</w:t>
      </w:r>
    </w:p>
  </w:comment>
  <w:comment w:id="2" w:author="Azad Nabavi" w:date="2018-01-13T14:04:00Z" w:initials="AN">
    <w:p w14:paraId="3D0C81E9" w14:textId="77777777" w:rsidR="00AB6491" w:rsidRDefault="00AB6491" w:rsidP="00AB6491">
      <w:pPr>
        <w:pStyle w:val="CommentText"/>
        <w:ind w:firstLine="0"/>
      </w:pPr>
      <w:r>
        <w:rPr>
          <w:rStyle w:val="CommentReference"/>
        </w:rPr>
        <w:annotationRef/>
      </w:r>
      <w:r>
        <w:rPr>
          <w:rFonts w:hint="cs"/>
          <w:rtl/>
        </w:rPr>
        <w:t>بالا به پایین</w:t>
      </w:r>
    </w:p>
  </w:comment>
  <w:comment w:id="3" w:author="Azad Nabavi" w:date="2018-01-16T16:44:00Z" w:initials="AN">
    <w:p w14:paraId="23E096FF" w14:textId="77777777" w:rsidR="002F0D7F" w:rsidRDefault="002F0D7F" w:rsidP="002F0D7F">
      <w:pPr>
        <w:pStyle w:val="CommentText"/>
      </w:pPr>
      <w:r>
        <w:rPr>
          <w:rStyle w:val="CommentReference"/>
        </w:rPr>
        <w:annotationRef/>
      </w:r>
      <w:r>
        <w:rPr>
          <w:rFonts w:hint="cs"/>
          <w:rtl/>
        </w:rPr>
        <w:t>مناسب برای تعریف انرژی پلن</w:t>
      </w:r>
    </w:p>
  </w:comment>
  <w:comment w:id="4" w:author="Azad Nabavi" w:date="2018-01-16T16:50:00Z" w:initials="AN">
    <w:p w14:paraId="7A0D75D2" w14:textId="77777777" w:rsidR="002F0D7F" w:rsidRDefault="002F0D7F" w:rsidP="002F0D7F">
      <w:pPr>
        <w:pStyle w:val="CommentText"/>
        <w:ind w:firstLine="0"/>
        <w:rPr>
          <w:rtl/>
          <w:lang w:bidi="fa-IR"/>
        </w:rPr>
      </w:pPr>
      <w:r>
        <w:rPr>
          <w:rStyle w:val="CommentReference"/>
        </w:rPr>
        <w:annotationRef/>
      </w:r>
      <w:r>
        <w:rPr>
          <w:rFonts w:hint="cs"/>
          <w:rtl/>
          <w:lang w:bidi="fa-IR"/>
        </w:rPr>
        <w:t>مناسب برای بخش سیاست گذاری انرژی</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F16672F" w15:done="0"/>
  <w15:commentEx w15:paraId="0981364B" w15:done="0"/>
  <w15:commentEx w15:paraId="3D0C81E9" w15:done="0"/>
  <w15:commentEx w15:paraId="23E096FF" w15:done="0"/>
  <w15:commentEx w15:paraId="7A0D75D2"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B600E" w14:textId="77777777" w:rsidR="00395D21" w:rsidRDefault="00395D21" w:rsidP="00AB6491">
      <w:pPr>
        <w:spacing w:after="0" w:line="240" w:lineRule="auto"/>
      </w:pPr>
      <w:r>
        <w:separator/>
      </w:r>
    </w:p>
  </w:endnote>
  <w:endnote w:type="continuationSeparator" w:id="0">
    <w:p w14:paraId="7FA8FCF0" w14:textId="77777777" w:rsidR="00395D21" w:rsidRDefault="00395D21" w:rsidP="00AB6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Zar">
    <w:altName w:val="Courier New"/>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1AF88" w14:textId="77777777" w:rsidR="00395D21" w:rsidRDefault="00395D21" w:rsidP="00AB6491">
      <w:pPr>
        <w:spacing w:after="0" w:line="240" w:lineRule="auto"/>
      </w:pPr>
      <w:r>
        <w:separator/>
      </w:r>
    </w:p>
  </w:footnote>
  <w:footnote w:type="continuationSeparator" w:id="0">
    <w:p w14:paraId="71108EEF" w14:textId="77777777" w:rsidR="00395D21" w:rsidRDefault="00395D21" w:rsidP="00AB6491">
      <w:pPr>
        <w:spacing w:after="0" w:line="240" w:lineRule="auto"/>
      </w:pPr>
      <w:r>
        <w:continuationSeparator/>
      </w:r>
    </w:p>
  </w:footnote>
  <w:footnote w:id="1">
    <w:p w14:paraId="5C68C9E0" w14:textId="77777777" w:rsidR="00AB6491" w:rsidRDefault="00AB6491" w:rsidP="00AB6491">
      <w:pPr>
        <w:pStyle w:val="FootnoteText"/>
        <w:bidi w:val="0"/>
      </w:pPr>
      <w:r>
        <w:rPr>
          <w:rStyle w:val="FootnoteReference"/>
        </w:rPr>
        <w:footnoteRef/>
      </w:r>
      <w:r>
        <w:rPr>
          <w:rtl/>
        </w:rPr>
        <w:t xml:space="preserve"> </w:t>
      </w:r>
      <w:r>
        <w:t xml:space="preserve"> Soft systems Methodology</w:t>
      </w:r>
    </w:p>
  </w:footnote>
  <w:footnote w:id="2">
    <w:p w14:paraId="3B15747C" w14:textId="77777777" w:rsidR="00AB6491" w:rsidRDefault="00AB6491" w:rsidP="00AB6491">
      <w:pPr>
        <w:pStyle w:val="FootnoteText"/>
        <w:bidi w:val="0"/>
        <w:rPr>
          <w:lang w:bidi="fa-IR"/>
        </w:rPr>
      </w:pPr>
      <w:r>
        <w:rPr>
          <w:rStyle w:val="FootnoteReference"/>
        </w:rPr>
        <w:footnoteRef/>
      </w:r>
      <w:r>
        <w:rPr>
          <w:rtl/>
        </w:rPr>
        <w:t xml:space="preserve"> </w:t>
      </w:r>
      <w:r>
        <w:rPr>
          <w:rFonts w:cs="B Lotus"/>
          <w:lang w:bidi="ku-Arab-IQ"/>
        </w:rPr>
        <w:t>MCDM</w:t>
      </w:r>
    </w:p>
  </w:footnote>
  <w:footnote w:id="3">
    <w:p w14:paraId="41229848" w14:textId="77777777" w:rsidR="00AB6491" w:rsidRDefault="00AB6491" w:rsidP="00AB6491">
      <w:pPr>
        <w:pStyle w:val="FootnoteText"/>
        <w:bidi w:val="0"/>
        <w:rPr>
          <w:lang w:bidi="fa-IR"/>
        </w:rPr>
      </w:pPr>
      <w:r>
        <w:rPr>
          <w:rStyle w:val="FootnoteReference"/>
        </w:rPr>
        <w:footnoteRef/>
      </w:r>
      <w:r>
        <w:rPr>
          <w:rtl/>
        </w:rPr>
        <w:t xml:space="preserve"> </w:t>
      </w:r>
      <w:r w:rsidRPr="00A216E3">
        <w:t>Distributed Energy Resources</w:t>
      </w:r>
    </w:p>
  </w:footnote>
  <w:footnote w:id="4">
    <w:p w14:paraId="6738D6D3" w14:textId="77777777" w:rsidR="002F0D7F" w:rsidRDefault="002F0D7F" w:rsidP="002F0D7F">
      <w:pPr>
        <w:pStyle w:val="FootnoteText"/>
        <w:bidi w:val="0"/>
        <w:rPr>
          <w:lang w:bidi="fa-IR"/>
        </w:rPr>
      </w:pPr>
      <w:r>
        <w:rPr>
          <w:rStyle w:val="FootnoteReference"/>
        </w:rPr>
        <w:footnoteRef/>
      </w:r>
      <w:r>
        <w:rPr>
          <w:rtl/>
        </w:rPr>
        <w:t xml:space="preserve"> </w:t>
      </w:r>
      <w:r w:rsidRPr="00262069">
        <w:rPr>
          <w:rFonts w:cs="B Lotus"/>
        </w:rPr>
        <w:t>EnergyPLAN</w:t>
      </w:r>
    </w:p>
  </w:footnote>
  <w:footnote w:id="5">
    <w:p w14:paraId="0A96403C" w14:textId="77777777" w:rsidR="002F0D7F" w:rsidRDefault="002F0D7F" w:rsidP="002F0D7F">
      <w:pPr>
        <w:pStyle w:val="FootnoteText"/>
        <w:bidi w:val="0"/>
        <w:rPr>
          <w:lang w:bidi="fa-IR"/>
        </w:rPr>
      </w:pPr>
      <w:r>
        <w:rPr>
          <w:rStyle w:val="FootnoteReference"/>
        </w:rPr>
        <w:footnoteRef/>
      </w:r>
      <w:r>
        <w:rPr>
          <w:rtl/>
        </w:rPr>
        <w:t xml:space="preserve"> </w:t>
      </w:r>
      <w:r>
        <w:rPr>
          <w:lang w:bidi="fa-IR"/>
        </w:rPr>
        <w:t>Ma</w:t>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zad freeman">
    <w15:presenceInfo w15:providerId="Windows Live" w15:userId="f065e9192c93359d"/>
  </w15:person>
  <w15:person w15:author="Azad Nabavi">
    <w15:presenceInfo w15:providerId="None" w15:userId="Azad Nabav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BE2"/>
    <w:rsid w:val="00051559"/>
    <w:rsid w:val="000D2B5B"/>
    <w:rsid w:val="000E7F16"/>
    <w:rsid w:val="00227917"/>
    <w:rsid w:val="00236C80"/>
    <w:rsid w:val="00282BE2"/>
    <w:rsid w:val="002F0D7F"/>
    <w:rsid w:val="003029E5"/>
    <w:rsid w:val="00305B75"/>
    <w:rsid w:val="00356F0D"/>
    <w:rsid w:val="00395D21"/>
    <w:rsid w:val="003D0138"/>
    <w:rsid w:val="003D7826"/>
    <w:rsid w:val="0042439F"/>
    <w:rsid w:val="00561BEF"/>
    <w:rsid w:val="00620420"/>
    <w:rsid w:val="0071332B"/>
    <w:rsid w:val="007536BF"/>
    <w:rsid w:val="007E1DA0"/>
    <w:rsid w:val="00A77EFE"/>
    <w:rsid w:val="00AB6491"/>
    <w:rsid w:val="00B6385A"/>
    <w:rsid w:val="00BC1FA7"/>
    <w:rsid w:val="00BC4CC7"/>
    <w:rsid w:val="00C72C09"/>
    <w:rsid w:val="00D358DA"/>
    <w:rsid w:val="00DE7831"/>
    <w:rsid w:val="00F76A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D51F8"/>
  <w15:chartTrackingRefBased/>
  <w15:docId w15:val="{7298C395-C0DD-4E42-B7D5-65B7A800E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2B5B"/>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D0138"/>
    <w:rPr>
      <w:sz w:val="16"/>
      <w:szCs w:val="16"/>
    </w:rPr>
  </w:style>
  <w:style w:type="paragraph" w:styleId="CommentText">
    <w:name w:val="annotation text"/>
    <w:basedOn w:val="Normal"/>
    <w:link w:val="CommentTextChar"/>
    <w:uiPriority w:val="99"/>
    <w:semiHidden/>
    <w:unhideWhenUsed/>
    <w:rsid w:val="003D0138"/>
    <w:pPr>
      <w:bidi/>
      <w:spacing w:after="0" w:line="240" w:lineRule="auto"/>
      <w:ind w:firstLine="567"/>
      <w:jc w:val="lowKashida"/>
    </w:pPr>
    <w:rPr>
      <w:rFonts w:ascii="Times New Roman" w:eastAsia="Times New Roman" w:hAnsi="Times New Roman" w:cs="B Nazanin"/>
      <w:sz w:val="20"/>
      <w:szCs w:val="20"/>
    </w:rPr>
  </w:style>
  <w:style w:type="character" w:customStyle="1" w:styleId="CommentTextChar">
    <w:name w:val="Comment Text Char"/>
    <w:basedOn w:val="DefaultParagraphFont"/>
    <w:link w:val="CommentText"/>
    <w:uiPriority w:val="99"/>
    <w:semiHidden/>
    <w:rsid w:val="003D0138"/>
    <w:rPr>
      <w:rFonts w:ascii="Times New Roman" w:eastAsia="Times New Roman" w:hAnsi="Times New Roman" w:cs="B Nazanin"/>
      <w:sz w:val="20"/>
      <w:szCs w:val="20"/>
    </w:rPr>
  </w:style>
  <w:style w:type="paragraph" w:styleId="FootnoteText">
    <w:name w:val="footnote text"/>
    <w:basedOn w:val="Normal"/>
    <w:link w:val="FootnoteTextChar"/>
    <w:uiPriority w:val="99"/>
    <w:rsid w:val="00AB6491"/>
    <w:pPr>
      <w:widowControl w:val="0"/>
      <w:bidi/>
      <w:spacing w:after="0" w:line="360" w:lineRule="auto"/>
      <w:ind w:firstLine="454"/>
      <w:jc w:val="lowKashida"/>
    </w:pPr>
    <w:rPr>
      <w:rFonts w:ascii="Times New Roman" w:eastAsia="Times New Roman" w:hAnsi="Times New Roman" w:cs="Zar"/>
      <w:sz w:val="16"/>
      <w:szCs w:val="20"/>
    </w:rPr>
  </w:style>
  <w:style w:type="character" w:customStyle="1" w:styleId="FootnoteTextChar">
    <w:name w:val="Footnote Text Char"/>
    <w:basedOn w:val="DefaultParagraphFont"/>
    <w:link w:val="FootnoteText"/>
    <w:uiPriority w:val="99"/>
    <w:rsid w:val="00AB6491"/>
    <w:rPr>
      <w:rFonts w:ascii="Times New Roman" w:eastAsia="Times New Roman" w:hAnsi="Times New Roman" w:cs="Zar"/>
      <w:sz w:val="16"/>
      <w:szCs w:val="20"/>
    </w:rPr>
  </w:style>
  <w:style w:type="character" w:styleId="FootnoteReference">
    <w:name w:val="footnote reference"/>
    <w:basedOn w:val="DefaultParagraphFont"/>
    <w:uiPriority w:val="99"/>
    <w:rsid w:val="00AB6491"/>
    <w:rPr>
      <w:rFonts w:ascii="Times New Roman" w:hAnsi="Times New Roman" w:cs="Zar"/>
      <w:sz w:val="22"/>
      <w:szCs w:val="2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68311">
      <w:bodyDiv w:val="1"/>
      <w:marLeft w:val="0"/>
      <w:marRight w:val="0"/>
      <w:marTop w:val="0"/>
      <w:marBottom w:val="0"/>
      <w:divBdr>
        <w:top w:val="none" w:sz="0" w:space="0" w:color="auto"/>
        <w:left w:val="none" w:sz="0" w:space="0" w:color="auto"/>
        <w:bottom w:val="none" w:sz="0" w:space="0" w:color="auto"/>
        <w:right w:val="none" w:sz="0" w:space="0" w:color="auto"/>
      </w:divBdr>
    </w:div>
    <w:div w:id="242036834">
      <w:bodyDiv w:val="1"/>
      <w:marLeft w:val="0"/>
      <w:marRight w:val="0"/>
      <w:marTop w:val="0"/>
      <w:marBottom w:val="0"/>
      <w:divBdr>
        <w:top w:val="none" w:sz="0" w:space="0" w:color="auto"/>
        <w:left w:val="none" w:sz="0" w:space="0" w:color="auto"/>
        <w:bottom w:val="none" w:sz="0" w:space="0" w:color="auto"/>
        <w:right w:val="none" w:sz="0" w:space="0" w:color="auto"/>
      </w:divBdr>
    </w:div>
    <w:div w:id="692728718">
      <w:bodyDiv w:val="1"/>
      <w:marLeft w:val="0"/>
      <w:marRight w:val="0"/>
      <w:marTop w:val="0"/>
      <w:marBottom w:val="0"/>
      <w:divBdr>
        <w:top w:val="none" w:sz="0" w:space="0" w:color="auto"/>
        <w:left w:val="none" w:sz="0" w:space="0" w:color="auto"/>
        <w:bottom w:val="none" w:sz="0" w:space="0" w:color="auto"/>
        <w:right w:val="none" w:sz="0" w:space="0" w:color="auto"/>
      </w:divBdr>
    </w:div>
    <w:div w:id="904949471">
      <w:bodyDiv w:val="1"/>
      <w:marLeft w:val="0"/>
      <w:marRight w:val="0"/>
      <w:marTop w:val="0"/>
      <w:marBottom w:val="0"/>
      <w:divBdr>
        <w:top w:val="none" w:sz="0" w:space="0" w:color="auto"/>
        <w:left w:val="none" w:sz="0" w:space="0" w:color="auto"/>
        <w:bottom w:val="none" w:sz="0" w:space="0" w:color="auto"/>
        <w:right w:val="none" w:sz="0" w:space="0" w:color="auto"/>
      </w:divBdr>
    </w:div>
    <w:div w:id="15987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30E7E-8288-4AC1-80AE-FDDE31362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22304</Words>
  <Characters>127135</Characters>
  <Application>Microsoft Office Word</Application>
  <DocSecurity>0</DocSecurity>
  <Lines>1059</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azad freeman</dc:creator>
  <cp:keywords/>
  <dc:description/>
  <cp:lastModifiedBy>aznabavi</cp:lastModifiedBy>
  <cp:revision>3</cp:revision>
  <dcterms:created xsi:type="dcterms:W3CDTF">2018-01-01T07:07:00Z</dcterms:created>
  <dcterms:modified xsi:type="dcterms:W3CDTF">2018-03-07T11:10:00Z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52bd5bde-5645-327f-94b7-543b9a51cf10</vt:lpwstr>
  </property>
  <property fmtid="{D5CDD505-2E9C-101B-9397-08002B2CF9AE}" pid="24" name="Mendeley Citation Style_1">
    <vt:lpwstr>http://www.zotero.org/styles/apa</vt:lpwstr>
  </property>
</Properties>
</file>